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</w:t>
      </w:r>
      <w:r w:rsidR="003A7C9E">
        <w:rPr>
          <w:rFonts w:asciiTheme="majorEastAsia" w:eastAsiaTheme="majorEastAsia" w:hAnsiTheme="majorEastAsia"/>
          <w:sz w:val="28"/>
        </w:rPr>
        <w:t>1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A7C9E" w:rsidRDefault="004C70FB" w:rsidP="008E3759">
      <w:pPr>
        <w:spacing w:line="320" w:lineRule="exact"/>
        <w:jc w:val="center"/>
        <w:rPr>
          <w:sz w:val="24"/>
        </w:rPr>
      </w:pPr>
    </w:p>
    <w:p w:rsidR="004C70FB" w:rsidRPr="00F34136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bookmarkStart w:id="0" w:name="_GoBack"/>
      <w:r w:rsidR="00CD04CA" w:rsidRPr="00F34136">
        <w:rPr>
          <w:rFonts w:asciiTheme="majorEastAsia" w:eastAsiaTheme="majorEastAsia" w:hAnsiTheme="majorEastAsia" w:hint="eastAsia"/>
          <w:sz w:val="24"/>
        </w:rPr>
        <w:t>20</w:t>
      </w:r>
      <w:r w:rsidR="003A7C9E" w:rsidRPr="00F34136">
        <w:rPr>
          <w:rFonts w:asciiTheme="majorEastAsia" w:eastAsiaTheme="majorEastAsia" w:hAnsiTheme="majorEastAsia" w:hint="eastAsia"/>
          <w:sz w:val="24"/>
        </w:rPr>
        <w:t>21</w:t>
      </w:r>
      <w:r w:rsidR="004C70FB" w:rsidRPr="00F34136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F34136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F34136">
        <w:rPr>
          <w:rFonts w:asciiTheme="minorEastAsia" w:hAnsiTheme="minorEastAsia" w:hint="eastAsia"/>
          <w:sz w:val="24"/>
        </w:rPr>
        <w:t xml:space="preserve">　</w:t>
      </w:r>
    </w:p>
    <w:p w:rsidR="004C70FB" w:rsidRPr="00F34136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3A7C9E" w:rsidRPr="00F34136">
        <w:rPr>
          <w:rFonts w:asciiTheme="minorEastAsia" w:hAnsiTheme="minorEastAsia" w:hint="eastAsia"/>
          <w:sz w:val="24"/>
        </w:rPr>
        <w:t>21</w:t>
      </w:r>
      <w:r w:rsidR="004C70FB" w:rsidRPr="00F34136">
        <w:rPr>
          <w:rFonts w:asciiTheme="minorEastAsia" w:hAnsiTheme="minorEastAsia" w:hint="eastAsia"/>
          <w:sz w:val="24"/>
        </w:rPr>
        <w:t>年度の取組方針に基づき、以下の内容を実施した。</w:t>
      </w:r>
    </w:p>
    <w:p w:rsidR="00342D56" w:rsidRPr="00F34136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3A7C9E">
                              <w:rPr>
                                <w:sz w:val="24"/>
                              </w:rPr>
                              <w:t>21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3A7C9E">
                        <w:rPr>
                          <w:sz w:val="24"/>
                        </w:rPr>
                        <w:t>21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F34136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494319</wp:posOffset>
                </wp:positionH>
                <wp:positionV relativeFrom="paragraph">
                  <wp:posOffset>101713</wp:posOffset>
                </wp:positionV>
                <wp:extent cx="4896092" cy="398834"/>
                <wp:effectExtent l="0" t="0" r="0" b="12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39883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975852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20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等防災本部幹事会（20</w:t>
                            </w:r>
                            <w:r w:rsidR="003A7C9E">
                              <w:rPr>
                                <w:rFonts w:asciiTheme="minorEastAsia" w:hAnsiTheme="minorEastAsia"/>
                                <w:sz w:val="20"/>
                              </w:rPr>
                              <w:t>21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３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月</w:t>
                            </w:r>
                            <w:r w:rsidR="003A7C9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４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日）において上記方針を決定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9pt;margin-top:8pt;width:385.5pt;height:31.4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" filled="f" stroked="f" strokeweight=".5pt">
                <v:textbox>
                  <w:txbxContent>
                    <w:p w:rsidR="00975852" w:rsidRPr="00FD18DE" w:rsidRDefault="00CD04CA" w:rsidP="00975852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20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等防災本部幹事会（20</w:t>
                      </w:r>
                      <w:r w:rsidR="003A7C9E">
                        <w:rPr>
                          <w:rFonts w:asciiTheme="minorEastAsia" w:hAnsiTheme="minorEastAsia"/>
                          <w:sz w:val="20"/>
                        </w:rPr>
                        <w:t>21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年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３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月</w:t>
                      </w:r>
                      <w:r w:rsidR="003A7C9E">
                        <w:rPr>
                          <w:rFonts w:asciiTheme="minorEastAsia" w:hAnsiTheme="minorEastAsia" w:hint="eastAsia"/>
                          <w:sz w:val="20"/>
                        </w:rPr>
                        <w:t>４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日）において上記方針を決定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F34136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F34136" w:rsidRDefault="00342D56" w:rsidP="008E3759">
      <w:pPr>
        <w:spacing w:line="320" w:lineRule="exact"/>
        <w:jc w:val="left"/>
        <w:rPr>
          <w:sz w:val="24"/>
        </w:rPr>
      </w:pPr>
    </w:p>
    <w:p w:rsidR="00975852" w:rsidRPr="00F34136" w:rsidRDefault="00975852" w:rsidP="008E3759">
      <w:pPr>
        <w:spacing w:line="320" w:lineRule="exact"/>
        <w:rPr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F34136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F34136">
        <w:rPr>
          <w:rFonts w:asciiTheme="minorEastAsia" w:hAnsiTheme="minorEastAsia" w:hint="eastAsia"/>
          <w:sz w:val="24"/>
        </w:rPr>
        <w:t>を実施。</w:t>
      </w:r>
    </w:p>
    <w:p w:rsidR="00B452A9" w:rsidRPr="00F34136" w:rsidRDefault="0080370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取組状況調査の実施</w:t>
      </w:r>
    </w:p>
    <w:p w:rsidR="00975852" w:rsidRPr="00F34136" w:rsidRDefault="005024AB" w:rsidP="00F007E3">
      <w:pPr>
        <w:spacing w:afterLines="50" w:after="180" w:line="320" w:lineRule="exact"/>
        <w:ind w:leftChars="400" w:left="840" w:rightChars="66" w:right="139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特定事業所における「予防対策</w:t>
      </w:r>
      <w:r w:rsidR="00975852" w:rsidRPr="00F34136">
        <w:rPr>
          <w:rFonts w:asciiTheme="minorEastAsia" w:hAnsiTheme="minorEastAsia" w:hint="eastAsia"/>
          <w:sz w:val="24"/>
        </w:rPr>
        <w:t>取組状況」について、全</w:t>
      </w:r>
      <w:r w:rsidR="005B5491" w:rsidRPr="00F34136">
        <w:rPr>
          <w:rFonts w:asciiTheme="minorEastAsia" w:hAnsiTheme="minorEastAsia" w:hint="eastAsia"/>
          <w:sz w:val="24"/>
        </w:rPr>
        <w:t>７８</w:t>
      </w:r>
      <w:r w:rsidR="00975852" w:rsidRPr="00F34136">
        <w:rPr>
          <w:rFonts w:asciiTheme="minorEastAsia" w:hAnsiTheme="minorEastAsia" w:hint="eastAsia"/>
          <w:sz w:val="24"/>
        </w:rPr>
        <w:t>事業所を対象</w:t>
      </w:r>
      <w:r w:rsidR="00CB31F8" w:rsidRPr="00F34136">
        <w:rPr>
          <w:rFonts w:asciiTheme="minorEastAsia" w:hAnsiTheme="minorEastAsia" w:hint="eastAsia"/>
          <w:sz w:val="24"/>
        </w:rPr>
        <w:t>とした</w:t>
      </w:r>
      <w:r w:rsidR="00975852" w:rsidRPr="00F34136">
        <w:rPr>
          <w:rFonts w:asciiTheme="minorEastAsia" w:hAnsiTheme="minorEastAsia" w:hint="eastAsia"/>
          <w:sz w:val="24"/>
        </w:rPr>
        <w:t>アンケート調査</w:t>
      </w:r>
      <w:r w:rsidR="00810CF1" w:rsidRPr="00F34136">
        <w:rPr>
          <w:rFonts w:asciiTheme="minorEastAsia" w:hAnsiTheme="minorEastAsia" w:hint="eastAsia"/>
          <w:sz w:val="24"/>
        </w:rPr>
        <w:t>した。</w:t>
      </w:r>
      <w:r w:rsidR="00F00462" w:rsidRPr="00F34136">
        <w:rPr>
          <w:rFonts w:asciiTheme="minorEastAsia" w:hAnsiTheme="minorEastAsia" w:hint="eastAsia"/>
          <w:sz w:val="24"/>
        </w:rPr>
        <w:t>さらに</w:t>
      </w:r>
      <w:r w:rsidR="00810CF1" w:rsidRPr="00F34136">
        <w:rPr>
          <w:rFonts w:asciiTheme="minorEastAsia" w:hAnsiTheme="minorEastAsia" w:hint="eastAsia"/>
          <w:sz w:val="24"/>
        </w:rPr>
        <w:t>、関係機関との</w:t>
      </w:r>
      <w:r w:rsidR="00975852" w:rsidRPr="00F34136">
        <w:rPr>
          <w:rFonts w:asciiTheme="minorEastAsia" w:hAnsiTheme="minorEastAsia" w:hint="eastAsia"/>
          <w:sz w:val="24"/>
        </w:rPr>
        <w:t>合同立入調査</w:t>
      </w:r>
      <w:r w:rsidR="00810CF1" w:rsidRPr="00F34136">
        <w:rPr>
          <w:rFonts w:asciiTheme="minorEastAsia" w:hAnsiTheme="minorEastAsia" w:hint="eastAsia"/>
          <w:sz w:val="24"/>
        </w:rPr>
        <w:t>において、</w:t>
      </w:r>
      <w:r w:rsidR="00975852" w:rsidRPr="00F34136">
        <w:rPr>
          <w:rFonts w:asciiTheme="minorEastAsia" w:hAnsiTheme="minorEastAsia" w:hint="eastAsia"/>
          <w:sz w:val="24"/>
        </w:rPr>
        <w:t>追加聴取を実施</w:t>
      </w:r>
      <w:r w:rsidR="003A7C9E" w:rsidRPr="00F34136">
        <w:rPr>
          <w:rFonts w:asciiTheme="minorEastAsia" w:hAnsiTheme="minorEastAsia" w:hint="eastAsia"/>
          <w:sz w:val="24"/>
        </w:rPr>
        <w:t>した</w:t>
      </w:r>
      <w:r w:rsidR="00975852" w:rsidRPr="00F34136">
        <w:rPr>
          <w:rFonts w:asciiTheme="minorEastAsia" w:hAnsiTheme="minorEastAsia" w:hint="eastAsia"/>
          <w:sz w:val="24"/>
        </w:rPr>
        <w:t>。</w:t>
      </w:r>
      <w:r w:rsidR="00066402" w:rsidRPr="00F34136">
        <w:rPr>
          <w:rFonts w:asciiTheme="minorEastAsia" w:hAnsiTheme="minorEastAsia" w:hint="eastAsia"/>
          <w:sz w:val="24"/>
        </w:rPr>
        <w:t>（資料１－１、資料１－２及び参考資料２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443CAB" w:rsidRPr="00F34136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予防対策に関する周知及び情報提供</w:t>
      </w:r>
    </w:p>
    <w:p w:rsidR="00443CAB" w:rsidRPr="00F34136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取組状況調査の結果について、20</w:t>
      </w:r>
      <w:r w:rsidR="003A7C9E" w:rsidRPr="00F34136">
        <w:rPr>
          <w:rFonts w:asciiTheme="minorEastAsia" w:hAnsiTheme="minorEastAsia" w:hint="eastAsia"/>
          <w:sz w:val="24"/>
        </w:rPr>
        <w:t>2</w:t>
      </w:r>
      <w:r w:rsidR="008A0250" w:rsidRPr="00F34136">
        <w:rPr>
          <w:rFonts w:asciiTheme="minorEastAsia" w:hAnsiTheme="minorEastAsia"/>
          <w:sz w:val="24"/>
        </w:rPr>
        <w:t>2</w:t>
      </w:r>
      <w:r w:rsidR="00443CAB" w:rsidRPr="00F34136">
        <w:rPr>
          <w:rFonts w:asciiTheme="minorEastAsia" w:hAnsiTheme="minorEastAsia" w:hint="eastAsia"/>
          <w:sz w:val="24"/>
        </w:rPr>
        <w:t>年３月開催予定の防災管理者研修会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="008A0250" w:rsidRPr="00F34136">
        <w:rPr>
          <w:rFonts w:asciiTheme="minorEastAsia" w:hAnsiTheme="minorEastAsia" w:hint="eastAsia"/>
          <w:sz w:val="24"/>
        </w:rPr>
        <w:t>等の場で紹介する</w:t>
      </w:r>
      <w:r w:rsidR="00443CAB" w:rsidRPr="00F34136">
        <w:rPr>
          <w:rFonts w:asciiTheme="minorEastAsia" w:hAnsiTheme="minorEastAsia" w:hint="eastAsia"/>
          <w:sz w:val="24"/>
        </w:rPr>
        <w:t>ことで、周知及び情報提供をする。</w:t>
      </w:r>
    </w:p>
    <w:p w:rsidR="00443CAB" w:rsidRPr="00F34136" w:rsidRDefault="008A0250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また、県民</w:t>
      </w:r>
      <w:r w:rsidR="00443CAB" w:rsidRPr="00F34136">
        <w:rPr>
          <w:rFonts w:asciiTheme="minorEastAsia" w:hAnsiTheme="minorEastAsia" w:hint="eastAsia"/>
          <w:sz w:val="24"/>
        </w:rPr>
        <w:t>に対しても、取組状況調査結果を分かりやすく取りまとめ、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ホームページ</w:t>
      </w:r>
      <w:r w:rsidR="00F52E19" w:rsidRPr="00F34136">
        <w:rPr>
          <w:rFonts w:asciiTheme="minorEastAsia" w:hAnsiTheme="minorEastAsia" w:hint="eastAsia"/>
          <w:sz w:val="24"/>
        </w:rPr>
        <w:t>で公表</w:t>
      </w:r>
      <w:r w:rsidR="00443CAB" w:rsidRPr="00F34136">
        <w:rPr>
          <w:rFonts w:asciiTheme="minorEastAsia" w:hAnsiTheme="minorEastAsia" w:hint="eastAsia"/>
          <w:sz w:val="24"/>
        </w:rPr>
        <w:t>する。</w:t>
      </w:r>
      <w:r w:rsidR="00066402" w:rsidRPr="00F34136">
        <w:rPr>
          <w:rFonts w:asciiTheme="minorEastAsia" w:hAnsiTheme="minorEastAsia" w:hint="eastAsia"/>
          <w:sz w:val="24"/>
        </w:rPr>
        <w:t>（資料１－３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342D56" w:rsidRPr="00F34136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国への要望</w:t>
      </w:r>
    </w:p>
    <w:p w:rsidR="00795E90" w:rsidRPr="00F34136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F34136">
        <w:rPr>
          <w:rFonts w:asciiTheme="minorEastAsia" w:hAnsiTheme="minorEastAsia" w:hint="eastAsia"/>
          <w:sz w:val="24"/>
        </w:rPr>
        <w:t>等</w:t>
      </w:r>
      <w:r w:rsidRPr="00F34136">
        <w:rPr>
          <w:rFonts w:asciiTheme="minorEastAsia" w:hAnsiTheme="minorEastAsia" w:hint="eastAsia"/>
          <w:sz w:val="24"/>
        </w:rPr>
        <w:t>の場で、国に対して提案書を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提出した。</w:t>
      </w:r>
      <w:r w:rsidR="00803706" w:rsidRPr="00F34136">
        <w:rPr>
          <w:rFonts w:asciiTheme="minorEastAsia" w:hAnsiTheme="minorEastAsia" w:hint="eastAsia"/>
          <w:sz w:val="24"/>
        </w:rPr>
        <w:t>（参考資料</w:t>
      </w:r>
      <w:r w:rsidR="00066402" w:rsidRPr="00F34136">
        <w:rPr>
          <w:rFonts w:asciiTheme="minorEastAsia" w:hAnsiTheme="minorEastAsia" w:hint="eastAsia"/>
          <w:sz w:val="24"/>
        </w:rPr>
        <w:t>４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795E90" w:rsidRPr="00F34136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F34136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F34136">
        <w:rPr>
          <w:rFonts w:ascii="ＭＳ 明朝" w:eastAsia="ＭＳ 明朝" w:hAnsi="ＭＳ 明朝" w:hint="eastAsia"/>
          <w:sz w:val="24"/>
        </w:rPr>
        <w:t xml:space="preserve"> </w:t>
      </w:r>
    </w:p>
    <w:p w:rsidR="0027649F" w:rsidRPr="00F34136" w:rsidRDefault="0027649F" w:rsidP="0027649F">
      <w:pPr>
        <w:spacing w:beforeLines="50" w:before="180" w:line="320" w:lineRule="exact"/>
        <w:rPr>
          <w:sz w:val="24"/>
        </w:rPr>
      </w:pPr>
      <w:r w:rsidRPr="00F34136">
        <w:rPr>
          <w:rFonts w:hint="eastAsia"/>
          <w:sz w:val="24"/>
        </w:rPr>
        <w:t xml:space="preserve">　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①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情報受伝達訓練</w:t>
      </w:r>
    </w:p>
    <w:p w:rsidR="009A15BD" w:rsidRPr="00F34136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>石油コンビナート等特別防災区域での災害発生時に、特定事業所の被害状況を関係機関が迅速に把握・共有する体制を</w:t>
      </w:r>
      <w:r w:rsidR="00327200" w:rsidRPr="00F34136">
        <w:rPr>
          <w:rFonts w:hint="eastAsia"/>
          <w:sz w:val="24"/>
          <w:szCs w:val="24"/>
        </w:rPr>
        <w:t>維持</w:t>
      </w:r>
      <w:r w:rsidRPr="00F34136">
        <w:rPr>
          <w:rFonts w:hint="eastAsia"/>
          <w:sz w:val="24"/>
          <w:szCs w:val="24"/>
        </w:rPr>
        <w:t>するため、ＦＡＸ</w:t>
      </w:r>
      <w:r w:rsidR="0027649F" w:rsidRPr="00F34136">
        <w:rPr>
          <w:rFonts w:hint="eastAsia"/>
          <w:sz w:val="24"/>
          <w:szCs w:val="24"/>
        </w:rPr>
        <w:t>及び「危険物タンクのスロッシング被害予測システム」</w:t>
      </w:r>
      <w:r w:rsidRPr="00F34136">
        <w:rPr>
          <w:rFonts w:hint="eastAsia"/>
          <w:sz w:val="24"/>
          <w:szCs w:val="24"/>
        </w:rPr>
        <w:t>による「情報受伝達訓練」を行った</w:t>
      </w:r>
      <w:r w:rsidR="00803706" w:rsidRPr="00F34136">
        <w:rPr>
          <w:rFonts w:hint="eastAsia"/>
          <w:sz w:val="24"/>
          <w:szCs w:val="24"/>
        </w:rPr>
        <w:t>。その</w:t>
      </w:r>
      <w:r w:rsidR="00C55975" w:rsidRPr="00F34136">
        <w:rPr>
          <w:rFonts w:hint="eastAsia"/>
          <w:sz w:val="24"/>
          <w:szCs w:val="24"/>
        </w:rPr>
        <w:t>結果、</w:t>
      </w:r>
      <w:r w:rsidR="00F007E3" w:rsidRPr="00F34136">
        <w:rPr>
          <w:rFonts w:hint="eastAsia"/>
          <w:sz w:val="24"/>
          <w:szCs w:val="24"/>
        </w:rPr>
        <w:t>全</w:t>
      </w:r>
      <w:r w:rsidR="00F007E3" w:rsidRPr="00F34136">
        <w:rPr>
          <w:rFonts w:hint="eastAsia"/>
          <w:sz w:val="24"/>
          <w:szCs w:val="24"/>
        </w:rPr>
        <w:t>78</w:t>
      </w:r>
      <w:r w:rsidR="00F007E3" w:rsidRPr="00F34136">
        <w:rPr>
          <w:rFonts w:hint="eastAsia"/>
          <w:sz w:val="24"/>
          <w:szCs w:val="24"/>
        </w:rPr>
        <w:t>事業所の内</w:t>
      </w:r>
      <w:r w:rsidR="003A7C9E" w:rsidRPr="00F34136">
        <w:rPr>
          <w:rFonts w:hint="eastAsia"/>
          <w:sz w:val="24"/>
          <w:szCs w:val="24"/>
        </w:rPr>
        <w:t>69</w:t>
      </w:r>
      <w:r w:rsidR="00327200" w:rsidRPr="00F34136">
        <w:rPr>
          <w:rFonts w:hint="eastAsia"/>
          <w:sz w:val="24"/>
          <w:szCs w:val="24"/>
        </w:rPr>
        <w:t>の特定事業所</w:t>
      </w:r>
      <w:r w:rsidR="00F007E3" w:rsidRPr="00F34136">
        <w:rPr>
          <w:rFonts w:hint="eastAsia"/>
          <w:sz w:val="24"/>
          <w:szCs w:val="24"/>
        </w:rPr>
        <w:t>（残りの９事業所は不参加の回答又は参加に関する回答なし）</w:t>
      </w:r>
      <w:r w:rsidR="00327200" w:rsidRPr="00F34136">
        <w:rPr>
          <w:rFonts w:hint="eastAsia"/>
          <w:sz w:val="24"/>
          <w:szCs w:val="24"/>
        </w:rPr>
        <w:t>が参加、</w:t>
      </w:r>
      <w:r w:rsidR="00803706" w:rsidRPr="00F34136">
        <w:rPr>
          <w:rFonts w:ascii="ＭＳ 明朝" w:hAnsi="ＭＳ 明朝" w:hint="eastAsia"/>
          <w:sz w:val="24"/>
        </w:rPr>
        <w:t>訓練当日に急遽担当者が変更となった２事業所以外は、適切な対応を行っていた</w:t>
      </w:r>
      <w:r w:rsidR="00810CF1" w:rsidRPr="00F34136">
        <w:rPr>
          <w:rFonts w:ascii="ＭＳ 明朝" w:hAnsi="ＭＳ 明朝" w:hint="eastAsia"/>
          <w:sz w:val="24"/>
        </w:rPr>
        <w:t>。</w:t>
      </w:r>
      <w:r w:rsidR="008B76D7" w:rsidRPr="00F34136">
        <w:rPr>
          <w:rFonts w:asciiTheme="minorEastAsia" w:hAnsiTheme="minorEastAsia" w:hint="eastAsia"/>
          <w:sz w:val="24"/>
          <w:szCs w:val="24"/>
        </w:rPr>
        <w:t>（</w:t>
      </w:r>
      <w:r w:rsidR="003A7C9E" w:rsidRPr="00F34136">
        <w:rPr>
          <w:rFonts w:asciiTheme="minorEastAsia" w:hAnsiTheme="minorEastAsia" w:hint="eastAsia"/>
          <w:sz w:val="24"/>
          <w:szCs w:val="24"/>
        </w:rPr>
        <w:t>2021</w:t>
      </w:r>
      <w:r w:rsidR="004A67B7" w:rsidRPr="00F34136">
        <w:rPr>
          <w:rFonts w:asciiTheme="minorEastAsia" w:hAnsiTheme="minorEastAsia" w:hint="eastAsia"/>
          <w:sz w:val="24"/>
          <w:szCs w:val="24"/>
        </w:rPr>
        <w:t>年８月20日実施済</w:t>
      </w:r>
      <w:r w:rsidR="004A67B7" w:rsidRPr="00F34136">
        <w:rPr>
          <w:rFonts w:hint="eastAsia"/>
          <w:sz w:val="24"/>
          <w:szCs w:val="24"/>
        </w:rPr>
        <w:t>）</w:t>
      </w:r>
    </w:p>
    <w:p w:rsidR="0027649F" w:rsidRPr="00F34136" w:rsidRDefault="0027649F" w:rsidP="0027649F">
      <w:pPr>
        <w:spacing w:beforeLines="50" w:before="180" w:line="320" w:lineRule="exact"/>
        <w:ind w:right="-142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 xml:space="preserve">　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②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合同図上訓練</w:t>
      </w:r>
    </w:p>
    <w:p w:rsidR="009A15BD" w:rsidRPr="00F34136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F34136">
        <w:rPr>
          <w:rFonts w:hint="eastAsia"/>
          <w:sz w:val="24"/>
          <w:szCs w:val="24"/>
        </w:rPr>
        <w:t>また、</w:t>
      </w:r>
      <w:r w:rsidR="006E174E" w:rsidRPr="00F34136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F34136">
        <w:rPr>
          <w:rFonts w:hint="eastAsia"/>
          <w:sz w:val="24"/>
        </w:rPr>
        <w:t xml:space="preserve"> </w:t>
      </w:r>
      <w:r w:rsidR="006E174E" w:rsidRPr="00F34136">
        <w:rPr>
          <w:rFonts w:hint="eastAsia"/>
          <w:sz w:val="24"/>
        </w:rPr>
        <w:t>及び</w:t>
      </w:r>
      <w:r w:rsidR="005E2A07" w:rsidRPr="00F34136">
        <w:rPr>
          <w:rFonts w:hint="eastAsia"/>
          <w:sz w:val="24"/>
        </w:rPr>
        <w:t xml:space="preserve"> </w:t>
      </w:r>
      <w:r w:rsidR="00F007E3" w:rsidRPr="00F34136">
        <w:rPr>
          <w:rFonts w:hint="eastAsia"/>
          <w:sz w:val="24"/>
        </w:rPr>
        <w:t>関係各機関・事業所</w:t>
      </w:r>
      <w:r w:rsidR="006E174E" w:rsidRPr="00F34136">
        <w:rPr>
          <w:rFonts w:hint="eastAsia"/>
          <w:sz w:val="24"/>
        </w:rPr>
        <w:t>の連携</w:t>
      </w:r>
      <w:r w:rsidR="009D724B" w:rsidRPr="00F34136">
        <w:rPr>
          <w:rFonts w:hint="eastAsia"/>
          <w:sz w:val="24"/>
        </w:rPr>
        <w:t>を</w:t>
      </w:r>
      <w:r w:rsidR="00795E90" w:rsidRPr="00F34136">
        <w:rPr>
          <w:rFonts w:hint="eastAsia"/>
          <w:sz w:val="24"/>
        </w:rPr>
        <w:t>維持</w:t>
      </w:r>
      <w:r w:rsidR="006E174E" w:rsidRPr="00F34136">
        <w:rPr>
          <w:rFonts w:hint="eastAsia"/>
          <w:sz w:val="24"/>
        </w:rPr>
        <w:t>するため、</w:t>
      </w:r>
      <w:r w:rsidR="00EE5840" w:rsidRPr="00F34136">
        <w:rPr>
          <w:rFonts w:hint="eastAsia"/>
          <w:sz w:val="24"/>
        </w:rPr>
        <w:t>「合同図上訓練」を行った。主に</w:t>
      </w:r>
      <w:r w:rsidR="00795E90" w:rsidRPr="00F34136">
        <w:rPr>
          <w:rFonts w:hint="eastAsia"/>
          <w:sz w:val="24"/>
        </w:rPr>
        <w:t>初任者に向け</w:t>
      </w:r>
      <w:r w:rsidR="00EE5840" w:rsidRPr="00F34136">
        <w:rPr>
          <w:rFonts w:hint="eastAsia"/>
          <w:sz w:val="24"/>
        </w:rPr>
        <w:t>に</w:t>
      </w:r>
      <w:r w:rsidR="00795E90" w:rsidRPr="00F34136">
        <w:rPr>
          <w:rFonts w:hint="eastAsia"/>
          <w:sz w:val="24"/>
        </w:rPr>
        <w:t>、災害対策本部を主体とした情報の受伝</w:t>
      </w:r>
      <w:r w:rsidR="00EE5840" w:rsidRPr="00F34136">
        <w:rPr>
          <w:rFonts w:hint="eastAsia"/>
          <w:sz w:val="24"/>
        </w:rPr>
        <w:t>達等、各機関の</w:t>
      </w:r>
      <w:r w:rsidR="003A7C9E" w:rsidRPr="00F34136">
        <w:rPr>
          <w:rFonts w:hint="eastAsia"/>
          <w:sz w:val="24"/>
        </w:rPr>
        <w:t>活動内容について、スライド資料による講義</w:t>
      </w:r>
      <w:r w:rsidR="00EE5840" w:rsidRPr="00F34136">
        <w:rPr>
          <w:rFonts w:hint="eastAsia"/>
          <w:sz w:val="24"/>
        </w:rPr>
        <w:t>を行った後、</w:t>
      </w:r>
      <w:r w:rsidR="003A7C9E" w:rsidRPr="00F34136">
        <w:rPr>
          <w:rFonts w:hint="eastAsia"/>
          <w:sz w:val="24"/>
        </w:rPr>
        <w:t>オープンシナリオで</w:t>
      </w:r>
      <w:r w:rsidR="00795E90" w:rsidRPr="00F34136">
        <w:rPr>
          <w:rFonts w:hint="eastAsia"/>
          <w:sz w:val="24"/>
        </w:rPr>
        <w:t>の</w:t>
      </w:r>
      <w:r w:rsidR="00EE5840" w:rsidRPr="00F34136">
        <w:rPr>
          <w:rFonts w:hint="eastAsia"/>
          <w:sz w:val="24"/>
        </w:rPr>
        <w:t>机上訓練</w:t>
      </w:r>
      <w:r w:rsidR="006E174E" w:rsidRPr="00F34136">
        <w:rPr>
          <w:rFonts w:hint="eastAsia"/>
          <w:sz w:val="24"/>
        </w:rPr>
        <w:t>を</w:t>
      </w:r>
      <w:r w:rsidR="00EE5840" w:rsidRPr="00F34136">
        <w:rPr>
          <w:rFonts w:hint="eastAsia"/>
          <w:sz w:val="24"/>
        </w:rPr>
        <w:t>実施する形式で行い、</w:t>
      </w:r>
      <w:r w:rsidR="00327200" w:rsidRPr="00F34136">
        <w:rPr>
          <w:rFonts w:hint="eastAsia"/>
          <w:sz w:val="24"/>
        </w:rPr>
        <w:t>関係機関から計</w:t>
      </w:r>
      <w:r w:rsidR="003A7C9E" w:rsidRPr="00F34136">
        <w:rPr>
          <w:rFonts w:hint="eastAsia"/>
          <w:sz w:val="24"/>
        </w:rPr>
        <w:t>43</w:t>
      </w:r>
      <w:r w:rsidR="00327200" w:rsidRPr="00F34136">
        <w:rPr>
          <w:rFonts w:hint="eastAsia"/>
          <w:sz w:val="24"/>
        </w:rPr>
        <w:t>人の参加があった</w:t>
      </w:r>
      <w:r w:rsidR="006E174E" w:rsidRPr="00F34136">
        <w:rPr>
          <w:rFonts w:hint="eastAsia"/>
          <w:sz w:val="24"/>
        </w:rPr>
        <w:t>。</w:t>
      </w:r>
      <w:r w:rsidR="00CD04CA" w:rsidRPr="00F34136">
        <w:rPr>
          <w:rFonts w:ascii="ＭＳ 明朝" w:eastAsia="ＭＳ 明朝" w:hAnsi="ＭＳ 明朝" w:hint="eastAsia"/>
          <w:sz w:val="24"/>
        </w:rPr>
        <w:t>（20</w:t>
      </w:r>
      <w:r w:rsidR="003A7C9E" w:rsidRPr="00F34136">
        <w:rPr>
          <w:rFonts w:ascii="ＭＳ 明朝" w:eastAsia="ＭＳ 明朝" w:hAnsi="ＭＳ 明朝" w:hint="eastAsia"/>
          <w:sz w:val="24"/>
        </w:rPr>
        <w:t>21</w:t>
      </w:r>
      <w:r w:rsidR="004A6C5C" w:rsidRPr="00F34136">
        <w:rPr>
          <w:rFonts w:ascii="ＭＳ 明朝" w:eastAsia="ＭＳ 明朝" w:hAnsi="ＭＳ 明朝" w:hint="eastAsia"/>
          <w:sz w:val="24"/>
        </w:rPr>
        <w:t>年</w:t>
      </w:r>
      <w:r w:rsidR="003A7C9E" w:rsidRPr="00F34136">
        <w:rPr>
          <w:rFonts w:ascii="ＭＳ 明朝" w:eastAsia="ＭＳ 明朝" w:hAnsi="ＭＳ 明朝" w:hint="eastAsia"/>
          <w:sz w:val="24"/>
        </w:rPr>
        <w:t>10</w:t>
      </w:r>
      <w:r w:rsidR="004A6C5C" w:rsidRPr="00F34136">
        <w:rPr>
          <w:rFonts w:ascii="ＭＳ 明朝" w:eastAsia="ＭＳ 明朝" w:hAnsi="ＭＳ 明朝" w:hint="eastAsia"/>
          <w:sz w:val="24"/>
        </w:rPr>
        <w:t>月</w:t>
      </w:r>
      <w:r w:rsidR="003A7C9E" w:rsidRPr="00F34136">
        <w:rPr>
          <w:rFonts w:ascii="ＭＳ 明朝" w:eastAsia="ＭＳ 明朝" w:hAnsi="ＭＳ 明朝" w:hint="eastAsia"/>
          <w:sz w:val="24"/>
        </w:rPr>
        <w:t>2</w:t>
      </w:r>
      <w:r w:rsidR="003A7C9E" w:rsidRPr="00F34136">
        <w:rPr>
          <w:rFonts w:ascii="ＭＳ 明朝" w:eastAsia="ＭＳ 明朝" w:hAnsi="ＭＳ 明朝"/>
          <w:sz w:val="24"/>
        </w:rPr>
        <w:t>1</w:t>
      </w:r>
      <w:r w:rsidR="004A6C5C" w:rsidRPr="00F34136">
        <w:rPr>
          <w:rFonts w:ascii="ＭＳ 明朝" w:eastAsia="ＭＳ 明朝" w:hAnsi="ＭＳ 明朝" w:hint="eastAsia"/>
          <w:sz w:val="24"/>
        </w:rPr>
        <w:t>日</w:t>
      </w:r>
      <w:r w:rsidR="00795E90" w:rsidRPr="00F34136">
        <w:rPr>
          <w:rFonts w:ascii="ＭＳ 明朝" w:eastAsia="ＭＳ 明朝" w:hAnsi="ＭＳ 明朝" w:hint="eastAsia"/>
          <w:sz w:val="24"/>
        </w:rPr>
        <w:t>実施済</w:t>
      </w:r>
      <w:r w:rsidR="004A6C5C" w:rsidRPr="00F34136">
        <w:rPr>
          <w:rFonts w:ascii="ＭＳ 明朝" w:eastAsia="ＭＳ 明朝" w:hAnsi="ＭＳ 明朝" w:hint="eastAsia"/>
          <w:sz w:val="24"/>
        </w:rPr>
        <w:t>）</w:t>
      </w:r>
    </w:p>
    <w:p w:rsidR="00383838" w:rsidRPr="00F34136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bookmarkEnd w:id="0"/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33B" w:rsidRDefault="0067433B" w:rsidP="00342D56">
      <w:r>
        <w:separator/>
      </w:r>
    </w:p>
  </w:endnote>
  <w:endnote w:type="continuationSeparator" w:id="0">
    <w:p w:rsidR="0067433B" w:rsidRDefault="0067433B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33B" w:rsidRDefault="0067433B" w:rsidP="00342D56">
      <w:r>
        <w:separator/>
      </w:r>
    </w:p>
  </w:footnote>
  <w:footnote w:type="continuationSeparator" w:id="0">
    <w:p w:rsidR="0067433B" w:rsidRDefault="0067433B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66402"/>
    <w:rsid w:val="000C434C"/>
    <w:rsid w:val="000E11DF"/>
    <w:rsid w:val="00100811"/>
    <w:rsid w:val="00126DFB"/>
    <w:rsid w:val="00132913"/>
    <w:rsid w:val="00215E39"/>
    <w:rsid w:val="00224373"/>
    <w:rsid w:val="00233B4F"/>
    <w:rsid w:val="00263706"/>
    <w:rsid w:val="0026747D"/>
    <w:rsid w:val="0027649F"/>
    <w:rsid w:val="00295BBE"/>
    <w:rsid w:val="002B53A1"/>
    <w:rsid w:val="002C0707"/>
    <w:rsid w:val="002D0EA3"/>
    <w:rsid w:val="00327200"/>
    <w:rsid w:val="00342D56"/>
    <w:rsid w:val="00345C45"/>
    <w:rsid w:val="00383838"/>
    <w:rsid w:val="003A7C9E"/>
    <w:rsid w:val="003B278D"/>
    <w:rsid w:val="003E4026"/>
    <w:rsid w:val="003F1EFC"/>
    <w:rsid w:val="00423712"/>
    <w:rsid w:val="00443CAB"/>
    <w:rsid w:val="00491A46"/>
    <w:rsid w:val="004A67B7"/>
    <w:rsid w:val="004A6C5C"/>
    <w:rsid w:val="004C70FB"/>
    <w:rsid w:val="004E2623"/>
    <w:rsid w:val="005024AB"/>
    <w:rsid w:val="00531DD2"/>
    <w:rsid w:val="00541BC1"/>
    <w:rsid w:val="005B5491"/>
    <w:rsid w:val="005E2A07"/>
    <w:rsid w:val="005F46D5"/>
    <w:rsid w:val="00600EDF"/>
    <w:rsid w:val="006328CD"/>
    <w:rsid w:val="0067433B"/>
    <w:rsid w:val="006E174E"/>
    <w:rsid w:val="00751D5C"/>
    <w:rsid w:val="00753A71"/>
    <w:rsid w:val="00795E90"/>
    <w:rsid w:val="007B05F6"/>
    <w:rsid w:val="007C5A18"/>
    <w:rsid w:val="00803706"/>
    <w:rsid w:val="00810CF1"/>
    <w:rsid w:val="00881CC9"/>
    <w:rsid w:val="00891630"/>
    <w:rsid w:val="008A0250"/>
    <w:rsid w:val="008B76D7"/>
    <w:rsid w:val="008E3759"/>
    <w:rsid w:val="00916EAA"/>
    <w:rsid w:val="00932C75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E106B"/>
    <w:rsid w:val="00C00FD5"/>
    <w:rsid w:val="00C55975"/>
    <w:rsid w:val="00C85E17"/>
    <w:rsid w:val="00CA3B99"/>
    <w:rsid w:val="00CB0F21"/>
    <w:rsid w:val="00CB31F8"/>
    <w:rsid w:val="00CD04CA"/>
    <w:rsid w:val="00D14D72"/>
    <w:rsid w:val="00D43165"/>
    <w:rsid w:val="00D719F8"/>
    <w:rsid w:val="00DB624C"/>
    <w:rsid w:val="00DC0804"/>
    <w:rsid w:val="00DD2095"/>
    <w:rsid w:val="00DF2C6A"/>
    <w:rsid w:val="00E179E9"/>
    <w:rsid w:val="00E328A3"/>
    <w:rsid w:val="00E45C94"/>
    <w:rsid w:val="00E5090B"/>
    <w:rsid w:val="00E75322"/>
    <w:rsid w:val="00E8696D"/>
    <w:rsid w:val="00EE5840"/>
    <w:rsid w:val="00F00462"/>
    <w:rsid w:val="00F007E3"/>
    <w:rsid w:val="00F05FCB"/>
    <w:rsid w:val="00F34136"/>
    <w:rsid w:val="00F52E19"/>
    <w:rsid w:val="00F551CF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68</cp:revision>
  <cp:lastPrinted>2019-10-31T23:39:00Z</cp:lastPrinted>
  <dcterms:created xsi:type="dcterms:W3CDTF">2018-10-22T23:57:00Z</dcterms:created>
  <dcterms:modified xsi:type="dcterms:W3CDTF">2022-01-27T01:46:00Z</dcterms:modified>
</cp:coreProperties>
</file>