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04" w:rsidRDefault="000258B0" w:rsidP="000258B0">
      <w:pPr>
        <w:ind w:firstLineChars="300" w:firstLine="693"/>
        <w:rPr>
          <w:rFonts w:asciiTheme="majorEastAsia" w:eastAsiaTheme="majorEastAsia" w:hAnsiTheme="majorEastAsia"/>
          <w:sz w:val="24"/>
          <w:szCs w:val="24"/>
        </w:rPr>
      </w:pPr>
      <w:r w:rsidRPr="000258B0">
        <w:rPr>
          <w:rFonts w:asciiTheme="majorEastAsia" w:eastAsiaTheme="majorEastAsia" w:hAnsiTheme="majorEastAsia" w:hint="eastAsia"/>
          <w:sz w:val="24"/>
          <w:szCs w:val="24"/>
        </w:rPr>
        <w:t>「障害者による情報の取得及び利用並びに意思疎通に係る施策の推進に</w:t>
      </w:r>
    </w:p>
    <w:p w:rsidR="000258B0" w:rsidRDefault="000258B0" w:rsidP="000258B0">
      <w:pPr>
        <w:ind w:firstLineChars="300" w:firstLine="693"/>
        <w:rPr>
          <w:sz w:val="24"/>
          <w:szCs w:val="24"/>
        </w:rPr>
      </w:pPr>
      <w:r w:rsidRPr="000258B0">
        <w:rPr>
          <w:rFonts w:asciiTheme="majorEastAsia" w:eastAsiaTheme="majorEastAsia" w:hAnsiTheme="majorEastAsia" w:hint="eastAsia"/>
          <w:sz w:val="24"/>
          <w:szCs w:val="24"/>
        </w:rPr>
        <w:t>関する法律」</w:t>
      </w:r>
      <w:r w:rsidR="00BE3055">
        <w:rPr>
          <w:rFonts w:asciiTheme="majorEastAsia" w:eastAsiaTheme="majorEastAsia" w:hAnsiTheme="majorEastAsia" w:hint="eastAsia"/>
          <w:sz w:val="24"/>
          <w:szCs w:val="24"/>
        </w:rPr>
        <w:t>（令和４年法律第50号）</w:t>
      </w:r>
      <w:r w:rsidRPr="000258B0">
        <w:rPr>
          <w:rFonts w:asciiTheme="majorEastAsia" w:eastAsiaTheme="majorEastAsia" w:hAnsiTheme="majorEastAsia" w:hint="eastAsia"/>
          <w:sz w:val="24"/>
          <w:szCs w:val="24"/>
        </w:rPr>
        <w:t>について</w:t>
      </w:r>
    </w:p>
    <w:p w:rsidR="000258B0" w:rsidRPr="000258B0" w:rsidRDefault="000258B0" w:rsidP="003D4504">
      <w:pPr>
        <w:ind w:firstLineChars="600" w:firstLine="1206"/>
        <w:rPr>
          <w:rFonts w:asciiTheme="majorEastAsia" w:eastAsiaTheme="majorEastAsia" w:hAnsiTheme="majorEastAsia"/>
          <w:szCs w:val="21"/>
        </w:rPr>
      </w:pPr>
      <w:r w:rsidRPr="000258B0">
        <w:rPr>
          <w:rFonts w:asciiTheme="majorEastAsia" w:eastAsiaTheme="majorEastAsia" w:hAnsiTheme="majorEastAsia" w:hint="eastAsia"/>
          <w:szCs w:val="21"/>
        </w:rPr>
        <w:t>（「障害者情報アクセシビリティ・コミュニケーション施策推進法」）</w:t>
      </w:r>
      <w:bookmarkStart w:id="0" w:name="_GoBack"/>
      <w:bookmarkEnd w:id="0"/>
    </w:p>
    <w:p w:rsidR="000258B0" w:rsidRDefault="000258B0" w:rsidP="000258B0">
      <w:pPr>
        <w:rPr>
          <w:sz w:val="24"/>
          <w:szCs w:val="24"/>
        </w:rPr>
      </w:pPr>
    </w:p>
    <w:p w:rsidR="000258B0" w:rsidRPr="000258B0" w:rsidRDefault="000258B0" w:rsidP="000258B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78525A">
        <w:rPr>
          <w:rFonts w:asciiTheme="majorEastAsia" w:eastAsiaTheme="majorEastAsia" w:hAnsiTheme="majorEastAsia" w:hint="eastAsia"/>
          <w:sz w:val="24"/>
          <w:szCs w:val="24"/>
        </w:rPr>
        <w:t>成立の経緯</w:t>
      </w:r>
    </w:p>
    <w:p w:rsidR="000258B0" w:rsidRDefault="004270FB" w:rsidP="000258B0">
      <w:pPr>
        <w:ind w:leftChars="100" w:left="201" w:firstLineChars="100" w:firstLine="231"/>
        <w:rPr>
          <w:sz w:val="24"/>
          <w:szCs w:val="24"/>
        </w:rPr>
      </w:pPr>
      <w:r>
        <w:rPr>
          <w:rFonts w:hint="eastAsia"/>
          <w:sz w:val="24"/>
          <w:szCs w:val="24"/>
        </w:rPr>
        <w:t>障がい</w:t>
      </w:r>
      <w:r w:rsidR="000258B0" w:rsidRPr="000258B0">
        <w:rPr>
          <w:rFonts w:hint="eastAsia"/>
          <w:sz w:val="24"/>
          <w:szCs w:val="24"/>
        </w:rPr>
        <w:t>があることで</w:t>
      </w:r>
      <w:r w:rsidR="000258B0">
        <w:rPr>
          <w:rFonts w:hint="eastAsia"/>
          <w:sz w:val="24"/>
          <w:szCs w:val="24"/>
        </w:rPr>
        <w:t>日常生活や災害時に必要な情報を得にくい「情報格差」の解消を図るため、</w:t>
      </w:r>
      <w:r w:rsidR="008079E9" w:rsidRPr="008079E9">
        <w:rPr>
          <w:rFonts w:hint="eastAsia"/>
          <w:sz w:val="24"/>
          <w:szCs w:val="24"/>
        </w:rPr>
        <w:t>超党派の議員連盟が</w:t>
      </w:r>
      <w:r>
        <w:rPr>
          <w:rFonts w:hint="eastAsia"/>
          <w:sz w:val="24"/>
          <w:szCs w:val="24"/>
        </w:rPr>
        <w:t>、</w:t>
      </w:r>
      <w:r w:rsidR="008079E9" w:rsidRPr="008079E9">
        <w:rPr>
          <w:rFonts w:hint="eastAsia"/>
          <w:sz w:val="24"/>
          <w:szCs w:val="24"/>
        </w:rPr>
        <w:t>当事者団体へのヒアリングをして作成</w:t>
      </w:r>
      <w:r w:rsidR="008079E9">
        <w:rPr>
          <w:rFonts w:hint="eastAsia"/>
          <w:sz w:val="24"/>
          <w:szCs w:val="24"/>
        </w:rPr>
        <w:t>された</w:t>
      </w:r>
      <w:r w:rsidR="000258B0">
        <w:rPr>
          <w:rFonts w:hint="eastAsia"/>
          <w:sz w:val="24"/>
          <w:szCs w:val="24"/>
        </w:rPr>
        <w:t>法案</w:t>
      </w:r>
      <w:r w:rsidR="008079E9">
        <w:rPr>
          <w:rFonts w:hint="eastAsia"/>
          <w:sz w:val="24"/>
          <w:szCs w:val="24"/>
        </w:rPr>
        <w:t>を国会に</w:t>
      </w:r>
      <w:r w:rsidR="000258B0">
        <w:rPr>
          <w:rFonts w:hint="eastAsia"/>
          <w:sz w:val="24"/>
          <w:szCs w:val="24"/>
        </w:rPr>
        <w:t>提出</w:t>
      </w:r>
      <w:r w:rsidR="008079E9">
        <w:rPr>
          <w:rFonts w:hint="eastAsia"/>
          <w:sz w:val="24"/>
          <w:szCs w:val="24"/>
        </w:rPr>
        <w:t>し</w:t>
      </w:r>
      <w:r w:rsidR="000258B0">
        <w:rPr>
          <w:rFonts w:hint="eastAsia"/>
          <w:sz w:val="24"/>
          <w:szCs w:val="24"/>
        </w:rPr>
        <w:t>、</w:t>
      </w:r>
      <w:r w:rsidR="002F732E">
        <w:rPr>
          <w:rFonts w:hint="eastAsia"/>
          <w:sz w:val="24"/>
          <w:szCs w:val="24"/>
        </w:rPr>
        <w:t>参議院、衆議院</w:t>
      </w:r>
      <w:r w:rsidR="00820470">
        <w:rPr>
          <w:rFonts w:hint="eastAsia"/>
          <w:sz w:val="24"/>
          <w:szCs w:val="24"/>
        </w:rPr>
        <w:t>において</w:t>
      </w:r>
      <w:r w:rsidR="002F732E">
        <w:rPr>
          <w:rFonts w:hint="eastAsia"/>
          <w:sz w:val="24"/>
          <w:szCs w:val="24"/>
        </w:rPr>
        <w:t>それぞれ</w:t>
      </w:r>
      <w:r w:rsidR="00BE3055">
        <w:rPr>
          <w:rFonts w:hint="eastAsia"/>
          <w:sz w:val="24"/>
          <w:szCs w:val="24"/>
        </w:rPr>
        <w:t>全会一致で可決</w:t>
      </w:r>
      <w:r w:rsidR="002F732E">
        <w:rPr>
          <w:rFonts w:hint="eastAsia"/>
          <w:sz w:val="24"/>
          <w:szCs w:val="24"/>
        </w:rPr>
        <w:t>され</w:t>
      </w:r>
      <w:r w:rsidR="00BE3055">
        <w:rPr>
          <w:rFonts w:hint="eastAsia"/>
          <w:sz w:val="24"/>
          <w:szCs w:val="24"/>
        </w:rPr>
        <w:t>成立</w:t>
      </w:r>
      <w:r w:rsidR="002F732E">
        <w:rPr>
          <w:rFonts w:hint="eastAsia"/>
          <w:sz w:val="24"/>
          <w:szCs w:val="24"/>
        </w:rPr>
        <w:t>に至り</w:t>
      </w:r>
      <w:r w:rsidR="00BE3055">
        <w:rPr>
          <w:rFonts w:hint="eastAsia"/>
          <w:sz w:val="24"/>
          <w:szCs w:val="24"/>
        </w:rPr>
        <w:t>、令和４年５月</w:t>
      </w:r>
      <w:r w:rsidR="00BE3055" w:rsidRPr="00BE3055">
        <w:rPr>
          <w:rFonts w:asciiTheme="minorEastAsia" w:hAnsiTheme="minorEastAsia" w:hint="eastAsia"/>
          <w:sz w:val="24"/>
          <w:szCs w:val="24"/>
        </w:rPr>
        <w:t>25</w:t>
      </w:r>
      <w:r w:rsidR="00BE3055">
        <w:rPr>
          <w:rFonts w:hint="eastAsia"/>
          <w:sz w:val="24"/>
          <w:szCs w:val="24"/>
        </w:rPr>
        <w:t>日に</w:t>
      </w:r>
      <w:r w:rsidR="002F732E">
        <w:rPr>
          <w:rFonts w:hint="eastAsia"/>
          <w:sz w:val="24"/>
          <w:szCs w:val="24"/>
        </w:rPr>
        <w:t>公布・</w:t>
      </w:r>
      <w:r w:rsidR="00BE3055">
        <w:rPr>
          <w:rFonts w:hint="eastAsia"/>
          <w:sz w:val="24"/>
          <w:szCs w:val="24"/>
        </w:rPr>
        <w:t>施行された</w:t>
      </w:r>
      <w:r w:rsidR="000258B0" w:rsidRPr="000258B0">
        <w:rPr>
          <w:rFonts w:hint="eastAsia"/>
          <w:sz w:val="24"/>
          <w:szCs w:val="24"/>
        </w:rPr>
        <w:t>。</w:t>
      </w:r>
    </w:p>
    <w:p w:rsidR="000258B0" w:rsidRDefault="0078525A" w:rsidP="0078525A">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158115</wp:posOffset>
                </wp:positionV>
                <wp:extent cx="5394960" cy="17983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5394960" cy="1798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AC294" id="正方形/長方形 1" o:spid="_x0000_s1026" style="position:absolute;left:0;text-align:left;margin-left:0;margin-top:12.45pt;width:424.8pt;height:141.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" filled="f" strokecolor="#1f4d78 [1604]" strokeweight="1pt">
                <w10:wrap anchorx="margin"/>
              </v:rect>
            </w:pict>
          </mc:Fallback>
        </mc:AlternateContent>
      </w:r>
    </w:p>
    <w:p w:rsidR="0078525A" w:rsidRPr="00DD0934" w:rsidRDefault="0078525A" w:rsidP="0078525A">
      <w:pPr>
        <w:rPr>
          <w:rFonts w:asciiTheme="majorEastAsia" w:eastAsiaTheme="majorEastAsia" w:hAnsiTheme="majorEastAsia"/>
          <w:sz w:val="24"/>
          <w:szCs w:val="24"/>
        </w:rPr>
      </w:pPr>
      <w:r w:rsidRPr="00DD0934">
        <w:rPr>
          <w:rFonts w:asciiTheme="majorEastAsia" w:eastAsiaTheme="majorEastAsia" w:hAnsiTheme="majorEastAsia" w:hint="eastAsia"/>
          <w:sz w:val="24"/>
          <w:szCs w:val="24"/>
        </w:rPr>
        <w:t>（格差の例）</w:t>
      </w:r>
    </w:p>
    <w:p w:rsidR="0078525A" w:rsidRPr="0078525A" w:rsidRDefault="0078525A" w:rsidP="0078525A">
      <w:pPr>
        <w:rPr>
          <w:sz w:val="24"/>
          <w:szCs w:val="24"/>
        </w:rPr>
      </w:pPr>
      <w:r w:rsidRPr="0078525A">
        <w:rPr>
          <w:rFonts w:hint="eastAsia"/>
          <w:sz w:val="24"/>
          <w:szCs w:val="24"/>
        </w:rPr>
        <w:t xml:space="preserve">　○聴覚障がい者</w:t>
      </w:r>
    </w:p>
    <w:p w:rsidR="0078525A" w:rsidRPr="0078525A" w:rsidRDefault="0078525A" w:rsidP="0078525A">
      <w:pPr>
        <w:rPr>
          <w:sz w:val="24"/>
          <w:szCs w:val="24"/>
        </w:rPr>
      </w:pPr>
      <w:r w:rsidRPr="0078525A">
        <w:rPr>
          <w:rFonts w:hint="eastAsia"/>
          <w:sz w:val="24"/>
          <w:szCs w:val="24"/>
        </w:rPr>
        <w:t xml:space="preserve">　　・テレビ、オンライン会議の手話通訳や字幕がないものがある</w:t>
      </w:r>
    </w:p>
    <w:p w:rsidR="0078525A" w:rsidRPr="0078525A" w:rsidRDefault="0078525A" w:rsidP="0078525A">
      <w:pPr>
        <w:rPr>
          <w:sz w:val="24"/>
          <w:szCs w:val="24"/>
        </w:rPr>
      </w:pPr>
      <w:r w:rsidRPr="0078525A">
        <w:rPr>
          <w:rFonts w:hint="eastAsia"/>
          <w:sz w:val="24"/>
          <w:szCs w:val="24"/>
        </w:rPr>
        <w:t xml:space="preserve">　　・問い合わせ窓口が電話のみとなっているものがある</w:t>
      </w:r>
    </w:p>
    <w:p w:rsidR="0078525A" w:rsidRPr="0078525A" w:rsidRDefault="0078525A" w:rsidP="0078525A">
      <w:pPr>
        <w:rPr>
          <w:sz w:val="24"/>
          <w:szCs w:val="24"/>
        </w:rPr>
      </w:pPr>
      <w:r w:rsidRPr="0078525A">
        <w:rPr>
          <w:rFonts w:hint="eastAsia"/>
          <w:sz w:val="24"/>
          <w:szCs w:val="24"/>
        </w:rPr>
        <w:t xml:space="preserve">　○視覚障がい者</w:t>
      </w:r>
    </w:p>
    <w:p w:rsidR="0078525A" w:rsidRPr="0078525A" w:rsidRDefault="0078525A" w:rsidP="0078525A">
      <w:pPr>
        <w:ind w:firstLineChars="200" w:firstLine="462"/>
        <w:rPr>
          <w:sz w:val="24"/>
          <w:szCs w:val="24"/>
        </w:rPr>
      </w:pPr>
      <w:r>
        <w:rPr>
          <w:rFonts w:hint="eastAsia"/>
          <w:sz w:val="24"/>
          <w:szCs w:val="24"/>
        </w:rPr>
        <w:t>・選挙公報の点字、音声、拡大文字版が用意されていないものがある</w:t>
      </w:r>
    </w:p>
    <w:p w:rsidR="0078525A" w:rsidRPr="0078525A" w:rsidRDefault="0078525A" w:rsidP="0078525A">
      <w:pPr>
        <w:ind w:firstLineChars="200" w:firstLine="462"/>
        <w:rPr>
          <w:sz w:val="24"/>
          <w:szCs w:val="24"/>
        </w:rPr>
      </w:pPr>
      <w:r w:rsidRPr="0078525A">
        <w:rPr>
          <w:rFonts w:hint="eastAsia"/>
          <w:sz w:val="24"/>
          <w:szCs w:val="24"/>
        </w:rPr>
        <w:t>・テレビの速報の音声版がないものがある</w:t>
      </w:r>
    </w:p>
    <w:p w:rsidR="0078525A" w:rsidRDefault="0078525A" w:rsidP="0078525A">
      <w:pPr>
        <w:ind w:firstLineChars="200" w:firstLine="462"/>
        <w:rPr>
          <w:sz w:val="24"/>
          <w:szCs w:val="24"/>
        </w:rPr>
      </w:pPr>
      <w:r w:rsidRPr="0078525A">
        <w:rPr>
          <w:rFonts w:hint="eastAsia"/>
          <w:sz w:val="24"/>
          <w:szCs w:val="24"/>
        </w:rPr>
        <w:t>・ホームページの音声読み上げ機能がないものがある</w:t>
      </w:r>
    </w:p>
    <w:p w:rsidR="0078525A" w:rsidRDefault="0078525A" w:rsidP="0078525A">
      <w:pPr>
        <w:rPr>
          <w:sz w:val="24"/>
          <w:szCs w:val="24"/>
        </w:rPr>
      </w:pPr>
    </w:p>
    <w:p w:rsidR="00820470" w:rsidRDefault="0078525A" w:rsidP="000258B0">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079E9" w:rsidRPr="0082047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法の基本理念</w:t>
      </w:r>
    </w:p>
    <w:p w:rsidR="002F732E" w:rsidRPr="002F732E" w:rsidRDefault="002F732E" w:rsidP="002F732E">
      <w:pPr>
        <w:ind w:left="210"/>
        <w:rPr>
          <w:rFonts w:asciiTheme="minorEastAsia" w:hAnsiTheme="minorEastAsia"/>
          <w:sz w:val="24"/>
          <w:szCs w:val="24"/>
        </w:rPr>
      </w:pPr>
      <w:r w:rsidRPr="002F732E">
        <w:rPr>
          <w:rFonts w:asciiTheme="minorEastAsia" w:hAnsiTheme="minorEastAsia" w:hint="eastAsia"/>
          <w:sz w:val="24"/>
          <w:szCs w:val="24"/>
        </w:rPr>
        <w:t>(1)　障害の種類・程度に応じた手段を選択できるようにする</w:t>
      </w:r>
    </w:p>
    <w:p w:rsidR="002F732E" w:rsidRPr="002F732E" w:rsidRDefault="002F732E" w:rsidP="002F732E">
      <w:pPr>
        <w:ind w:leftChars="100" w:left="547" w:hangingChars="150" w:hanging="346"/>
        <w:rPr>
          <w:rFonts w:asciiTheme="minorEastAsia" w:hAnsiTheme="minorEastAsia"/>
          <w:sz w:val="24"/>
          <w:szCs w:val="24"/>
        </w:rPr>
      </w:pPr>
      <w:r w:rsidRPr="002F732E">
        <w:rPr>
          <w:rFonts w:asciiTheme="minorEastAsia" w:hAnsiTheme="minorEastAsia" w:hint="eastAsia"/>
          <w:sz w:val="24"/>
          <w:szCs w:val="24"/>
        </w:rPr>
        <w:t>(2)　日常生活・社会生活を営んでいる地域にかかわらず等しく情報取得等が　　  できるようにする</w:t>
      </w:r>
    </w:p>
    <w:p w:rsidR="002F732E" w:rsidRPr="002F732E" w:rsidRDefault="002F732E" w:rsidP="002F732E">
      <w:pPr>
        <w:ind w:leftChars="100" w:left="547" w:hangingChars="150" w:hanging="346"/>
        <w:rPr>
          <w:rFonts w:asciiTheme="minorEastAsia" w:hAnsiTheme="minorEastAsia"/>
          <w:sz w:val="24"/>
          <w:szCs w:val="24"/>
        </w:rPr>
      </w:pPr>
      <w:r w:rsidRPr="002F732E">
        <w:rPr>
          <w:rFonts w:asciiTheme="minorEastAsia" w:hAnsiTheme="minorEastAsia" w:hint="eastAsia"/>
          <w:sz w:val="24"/>
          <w:szCs w:val="24"/>
        </w:rPr>
        <w:t>(3)　障害者でない者と同一内容の情報を同一時点において取得できるようにする</w:t>
      </w:r>
    </w:p>
    <w:p w:rsidR="002F732E" w:rsidRPr="002F732E" w:rsidRDefault="002F732E" w:rsidP="002F732E">
      <w:pPr>
        <w:ind w:leftChars="100" w:left="547" w:hangingChars="150" w:hanging="346"/>
        <w:rPr>
          <w:rFonts w:asciiTheme="minorEastAsia" w:hAnsiTheme="minorEastAsia"/>
          <w:sz w:val="24"/>
          <w:szCs w:val="24"/>
        </w:rPr>
      </w:pPr>
      <w:r w:rsidRPr="002F732E">
        <w:rPr>
          <w:rFonts w:asciiTheme="minorEastAsia" w:hAnsiTheme="minorEastAsia" w:hint="eastAsia"/>
          <w:sz w:val="24"/>
          <w:szCs w:val="24"/>
        </w:rPr>
        <w:t>(4)　高度情報通信ネットワークの利用・情報通信技術の活用を通じて行う（デジタル社会）</w:t>
      </w:r>
    </w:p>
    <w:p w:rsidR="002F732E" w:rsidRDefault="002F732E" w:rsidP="0078525A">
      <w:pPr>
        <w:ind w:left="231" w:hangingChars="100" w:hanging="231"/>
        <w:rPr>
          <w:sz w:val="24"/>
          <w:szCs w:val="24"/>
        </w:rPr>
      </w:pPr>
    </w:p>
    <w:p w:rsidR="0078525A" w:rsidRPr="00DD0934" w:rsidRDefault="0078525A" w:rsidP="0078525A">
      <w:pPr>
        <w:ind w:left="231" w:hangingChars="100" w:hanging="231"/>
        <w:rPr>
          <w:rFonts w:asciiTheme="majorEastAsia" w:eastAsiaTheme="majorEastAsia" w:hAnsiTheme="majorEastAsia"/>
          <w:sz w:val="24"/>
          <w:szCs w:val="24"/>
        </w:rPr>
      </w:pPr>
      <w:r w:rsidRPr="00DD0934">
        <w:rPr>
          <w:rFonts w:asciiTheme="majorEastAsia" w:eastAsiaTheme="majorEastAsia" w:hAnsiTheme="majorEastAsia" w:hint="eastAsia"/>
          <w:sz w:val="24"/>
          <w:szCs w:val="24"/>
        </w:rPr>
        <w:t>３　国、</w:t>
      </w:r>
      <w:r w:rsidR="002F732E" w:rsidRPr="00DD0934">
        <w:rPr>
          <w:rFonts w:asciiTheme="majorEastAsia" w:eastAsiaTheme="majorEastAsia" w:hAnsiTheme="majorEastAsia" w:hint="eastAsia"/>
          <w:sz w:val="24"/>
          <w:szCs w:val="24"/>
        </w:rPr>
        <w:t>地方公共団体</w:t>
      </w:r>
      <w:r w:rsidRPr="00DD0934">
        <w:rPr>
          <w:rFonts w:asciiTheme="majorEastAsia" w:eastAsiaTheme="majorEastAsia" w:hAnsiTheme="majorEastAsia" w:hint="eastAsia"/>
          <w:sz w:val="24"/>
          <w:szCs w:val="24"/>
        </w:rPr>
        <w:t>等の責務</w:t>
      </w:r>
    </w:p>
    <w:p w:rsidR="0078525A" w:rsidRPr="0078525A" w:rsidRDefault="00BE3055" w:rsidP="00BE3055">
      <w:pPr>
        <w:ind w:leftChars="100" w:left="201" w:firstLineChars="100" w:firstLine="231"/>
        <w:rPr>
          <w:sz w:val="24"/>
          <w:szCs w:val="24"/>
        </w:rPr>
      </w:pPr>
      <w:r>
        <w:rPr>
          <w:rFonts w:hint="eastAsia"/>
          <w:sz w:val="24"/>
          <w:szCs w:val="24"/>
        </w:rPr>
        <w:t>すべての障害者が等しく情報を取得できるよう国や</w:t>
      </w:r>
      <w:r w:rsidR="00DD0934">
        <w:rPr>
          <w:rFonts w:hint="eastAsia"/>
          <w:sz w:val="24"/>
          <w:szCs w:val="24"/>
        </w:rPr>
        <w:t>地方</w:t>
      </w:r>
      <w:r>
        <w:rPr>
          <w:rFonts w:hint="eastAsia"/>
          <w:sz w:val="24"/>
          <w:szCs w:val="24"/>
        </w:rPr>
        <w:t>公共団体が</w:t>
      </w:r>
      <w:r w:rsidR="00DD0934">
        <w:rPr>
          <w:rFonts w:hint="eastAsia"/>
          <w:sz w:val="24"/>
          <w:szCs w:val="24"/>
        </w:rPr>
        <w:t>施策を進める責務が</w:t>
      </w:r>
      <w:r w:rsidR="0078525A" w:rsidRPr="0078525A">
        <w:rPr>
          <w:rFonts w:hint="eastAsia"/>
          <w:sz w:val="24"/>
          <w:szCs w:val="24"/>
        </w:rPr>
        <w:t>明記された</w:t>
      </w:r>
      <w:r w:rsidR="00DD0934">
        <w:rPr>
          <w:rFonts w:hint="eastAsia"/>
          <w:sz w:val="24"/>
          <w:szCs w:val="24"/>
        </w:rPr>
        <w:t>。</w:t>
      </w:r>
    </w:p>
    <w:p w:rsidR="0078525A" w:rsidRDefault="0078525A" w:rsidP="0078525A">
      <w:pPr>
        <w:ind w:left="231" w:hangingChars="100" w:hanging="231"/>
        <w:rPr>
          <w:sz w:val="24"/>
          <w:szCs w:val="24"/>
        </w:rPr>
      </w:pPr>
      <w:r w:rsidRPr="0078525A">
        <w:rPr>
          <w:rFonts w:hint="eastAsia"/>
          <w:sz w:val="24"/>
          <w:szCs w:val="24"/>
        </w:rPr>
        <w:t xml:space="preserve">　　また、事業者や国民にも協力や理解を深める努力義務を規定されている。</w:t>
      </w:r>
    </w:p>
    <w:p w:rsidR="00DD0934" w:rsidRDefault="00DD0934" w:rsidP="0078525A">
      <w:pPr>
        <w:ind w:left="231" w:hangingChars="100" w:hanging="231"/>
        <w:rPr>
          <w:sz w:val="24"/>
          <w:szCs w:val="24"/>
        </w:rPr>
      </w:pPr>
      <w:r>
        <w:rPr>
          <w:noProof/>
          <w:sz w:val="24"/>
          <w:szCs w:val="24"/>
        </w:rPr>
        <mc:AlternateContent>
          <mc:Choice Requires="wps">
            <w:drawing>
              <wp:anchor distT="0" distB="0" distL="114300" distR="114300" simplePos="0" relativeHeight="251661312" behindDoc="0" locked="0" layoutInCell="1" allowOverlap="1" wp14:anchorId="6AC0D573" wp14:editId="02C9836F">
                <wp:simplePos x="0" y="0"/>
                <wp:positionH relativeFrom="margin">
                  <wp:align>left</wp:align>
                </wp:positionH>
                <wp:positionV relativeFrom="paragraph">
                  <wp:posOffset>156845</wp:posOffset>
                </wp:positionV>
                <wp:extent cx="5394960" cy="17526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394960" cy="1752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814E3" id="正方形/長方形 2" o:spid="_x0000_s1026" style="position:absolute;left:0;text-align:left;margin-left:0;margin-top:12.35pt;width:424.8pt;height:13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" filled="f" strokecolor="#41719c" strokeweight="1pt">
                <w10:wrap anchorx="margin"/>
              </v:rect>
            </w:pict>
          </mc:Fallback>
        </mc:AlternateContent>
      </w:r>
    </w:p>
    <w:p w:rsidR="00DD0934" w:rsidRPr="00DD0934" w:rsidRDefault="00DD0934" w:rsidP="0078525A">
      <w:pPr>
        <w:ind w:left="231" w:hangingChars="100" w:hanging="231"/>
        <w:rPr>
          <w:rFonts w:asciiTheme="majorEastAsia" w:eastAsiaTheme="majorEastAsia" w:hAnsiTheme="majorEastAsia"/>
          <w:sz w:val="24"/>
          <w:szCs w:val="24"/>
        </w:rPr>
      </w:pPr>
      <w:r>
        <w:rPr>
          <w:rFonts w:hint="eastAsia"/>
          <w:sz w:val="24"/>
          <w:szCs w:val="24"/>
        </w:rPr>
        <w:t xml:space="preserve">　</w:t>
      </w:r>
      <w:r w:rsidRPr="00DD0934">
        <w:rPr>
          <w:rFonts w:asciiTheme="majorEastAsia" w:eastAsiaTheme="majorEastAsia" w:hAnsiTheme="majorEastAsia" w:hint="eastAsia"/>
          <w:sz w:val="24"/>
          <w:szCs w:val="24"/>
        </w:rPr>
        <w:t>（国、地方公共団体における基本的施策）</w:t>
      </w:r>
    </w:p>
    <w:p w:rsid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(1)</w:t>
      </w:r>
      <w:r w:rsidR="00DD0934">
        <w:rPr>
          <w:rFonts w:asciiTheme="minorEastAsia" w:hAnsiTheme="minorEastAsia" w:hint="eastAsia"/>
          <w:sz w:val="24"/>
          <w:szCs w:val="24"/>
        </w:rPr>
        <w:t xml:space="preserve">　</w:t>
      </w:r>
      <w:r w:rsidRPr="00DD0934">
        <w:rPr>
          <w:rFonts w:asciiTheme="minorEastAsia" w:hAnsiTheme="minorEastAsia" w:hint="eastAsia"/>
          <w:sz w:val="24"/>
          <w:szCs w:val="24"/>
        </w:rPr>
        <w:t>障害者による情報取得</w:t>
      </w:r>
      <w:r w:rsidR="00DD0934">
        <w:rPr>
          <w:rFonts w:asciiTheme="minorEastAsia" w:hAnsiTheme="minorEastAsia" w:hint="eastAsia"/>
          <w:sz w:val="24"/>
          <w:szCs w:val="24"/>
        </w:rPr>
        <w:t>等に資する機器等</w:t>
      </w:r>
    </w:p>
    <w:p w:rsid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(2)</w:t>
      </w:r>
      <w:r w:rsidR="00DD0934">
        <w:rPr>
          <w:rFonts w:asciiTheme="minorEastAsia" w:hAnsiTheme="minorEastAsia" w:hint="eastAsia"/>
          <w:sz w:val="24"/>
          <w:szCs w:val="24"/>
        </w:rPr>
        <w:t xml:space="preserve">　防災・防犯及び緊急の通報</w:t>
      </w:r>
    </w:p>
    <w:p w:rsid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(3)</w:t>
      </w:r>
      <w:r w:rsidR="00DD0934">
        <w:rPr>
          <w:rFonts w:asciiTheme="minorEastAsia" w:hAnsiTheme="minorEastAsia" w:hint="eastAsia"/>
          <w:sz w:val="24"/>
          <w:szCs w:val="24"/>
        </w:rPr>
        <w:t xml:space="preserve">　</w:t>
      </w:r>
      <w:r w:rsidRPr="00DD0934">
        <w:rPr>
          <w:rFonts w:asciiTheme="minorEastAsia" w:hAnsiTheme="minorEastAsia" w:hint="eastAsia"/>
          <w:sz w:val="24"/>
          <w:szCs w:val="24"/>
        </w:rPr>
        <w:t>障害者が自立した日常生活・社会生活を営むた</w:t>
      </w:r>
      <w:r w:rsidR="00DD0934">
        <w:rPr>
          <w:rFonts w:asciiTheme="minorEastAsia" w:hAnsiTheme="minorEastAsia" w:hint="eastAsia"/>
          <w:sz w:val="24"/>
          <w:szCs w:val="24"/>
        </w:rPr>
        <w:t>めに必要な分野に係る施策</w:t>
      </w:r>
    </w:p>
    <w:p w:rsid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(4)</w:t>
      </w:r>
      <w:r w:rsidR="00DD0934">
        <w:rPr>
          <w:rFonts w:asciiTheme="minorEastAsia" w:hAnsiTheme="minorEastAsia" w:hint="eastAsia"/>
          <w:sz w:val="24"/>
          <w:szCs w:val="24"/>
        </w:rPr>
        <w:t xml:space="preserve">　障害者からの相談・障害者に提供する情報</w:t>
      </w:r>
    </w:p>
    <w:p w:rsid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(5)</w:t>
      </w:r>
      <w:r w:rsidR="00DD0934">
        <w:rPr>
          <w:rFonts w:asciiTheme="minorEastAsia" w:hAnsiTheme="minorEastAsia" w:hint="eastAsia"/>
          <w:sz w:val="24"/>
          <w:szCs w:val="24"/>
        </w:rPr>
        <w:t xml:space="preserve">　国民の関心・理解の増進</w:t>
      </w:r>
    </w:p>
    <w:p w:rsidR="002F732E" w:rsidRPr="00DD0934" w:rsidRDefault="002F732E" w:rsidP="00DD0934">
      <w:pPr>
        <w:ind w:leftChars="100" w:left="201"/>
        <w:rPr>
          <w:rFonts w:asciiTheme="minorEastAsia" w:hAnsiTheme="minorEastAsia"/>
          <w:sz w:val="24"/>
          <w:szCs w:val="24"/>
        </w:rPr>
      </w:pPr>
      <w:r w:rsidRPr="00DD0934">
        <w:rPr>
          <w:rFonts w:asciiTheme="minorEastAsia" w:hAnsiTheme="minorEastAsia" w:hint="eastAsia"/>
          <w:sz w:val="24"/>
          <w:szCs w:val="24"/>
        </w:rPr>
        <w:t>(6)</w:t>
      </w:r>
      <w:r w:rsidR="00DD0934">
        <w:rPr>
          <w:rFonts w:asciiTheme="minorEastAsia" w:hAnsiTheme="minorEastAsia" w:hint="eastAsia"/>
          <w:sz w:val="24"/>
          <w:szCs w:val="24"/>
        </w:rPr>
        <w:t xml:space="preserve">　調査研究の推進等</w:t>
      </w:r>
    </w:p>
    <w:p w:rsidR="00820470" w:rsidRDefault="00820470" w:rsidP="008079E9">
      <w:pPr>
        <w:ind w:firstLineChars="200" w:firstLine="462"/>
        <w:rPr>
          <w:sz w:val="24"/>
          <w:szCs w:val="24"/>
        </w:rPr>
      </w:pPr>
    </w:p>
    <w:sectPr w:rsidR="00820470" w:rsidSect="00DD0934">
      <w:headerReference w:type="default" r:id="rId7"/>
      <w:pgSz w:w="11906" w:h="16838" w:code="9"/>
      <w:pgMar w:top="1701" w:right="1531" w:bottom="1418" w:left="1531" w:header="851" w:footer="992" w:gutter="0"/>
      <w:cols w:space="425"/>
      <w:docGrid w:type="linesAndChars" w:linePitch="334"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5A" w:rsidRDefault="0078525A" w:rsidP="0078525A">
      <w:r>
        <w:separator/>
      </w:r>
    </w:p>
  </w:endnote>
  <w:endnote w:type="continuationSeparator" w:id="0">
    <w:p w:rsidR="0078525A" w:rsidRDefault="0078525A" w:rsidP="0078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5A" w:rsidRDefault="0078525A" w:rsidP="0078525A">
      <w:r>
        <w:separator/>
      </w:r>
    </w:p>
  </w:footnote>
  <w:footnote w:type="continuationSeparator" w:id="0">
    <w:p w:rsidR="0078525A" w:rsidRDefault="0078525A" w:rsidP="0078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04" w:rsidRDefault="003D4504" w:rsidP="003D4504">
    <w:pPr>
      <w:pStyle w:val="a3"/>
      <w:jc w:val="right"/>
    </w:pPr>
    <w:r>
      <w:rPr>
        <w:rFonts w:hAnsi="ＭＳ 明朝" w:hint="eastAsia"/>
        <w:noProof/>
        <w:sz w:val="22"/>
      </w:rPr>
      <mc:AlternateContent>
        <mc:Choice Requires="wps">
          <w:drawing>
            <wp:anchor distT="0" distB="0" distL="114300" distR="114300" simplePos="0" relativeHeight="251659264" behindDoc="0" locked="0" layoutInCell="1" allowOverlap="1" wp14:anchorId="009FBB24" wp14:editId="0ADAFF77">
              <wp:simplePos x="0" y="0"/>
              <wp:positionH relativeFrom="margin">
                <wp:align>right</wp:align>
              </wp:positionH>
              <wp:positionV relativeFrom="paragraph">
                <wp:posOffset>-128905</wp:posOffset>
              </wp:positionV>
              <wp:extent cx="1102360" cy="342900"/>
              <wp:effectExtent l="0" t="0" r="21590" b="1905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342900"/>
                      </a:xfrm>
                      <a:prstGeom prst="rect">
                        <a:avLst/>
                      </a:prstGeom>
                      <a:solidFill>
                        <a:srgbClr val="FFFFFF"/>
                      </a:solidFill>
                      <a:ln w="9525">
                        <a:solidFill>
                          <a:srgbClr val="000000"/>
                        </a:solidFill>
                        <a:miter lim="800000"/>
                        <a:headEnd/>
                        <a:tailEnd/>
                      </a:ln>
                    </wps:spPr>
                    <wps:txbx>
                      <w:txbxContent>
                        <w:p w:rsidR="003D4504" w:rsidRPr="00774C5C" w:rsidRDefault="00216C8D" w:rsidP="003D450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参考</w:t>
                          </w:r>
                          <w:r w:rsidR="003D4504" w:rsidRPr="00774C5C">
                            <w:rPr>
                              <w:rFonts w:ascii="ＭＳ ゴシック" w:eastAsia="ＭＳ ゴシック" w:hAnsi="ＭＳ ゴシック" w:hint="eastAsia"/>
                              <w:sz w:val="36"/>
                              <w:szCs w:val="36"/>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BB24" id="Rectangle 6" o:spid="_x0000_s1026" style="position:absolute;left:0;text-align:left;margin-left:35.6pt;margin-top:-10.15pt;width:86.8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">
              <v:textbox inset="5.85pt,.7pt,5.85pt,.7pt">
                <w:txbxContent>
                  <w:p w:rsidR="003D4504" w:rsidRPr="00774C5C" w:rsidRDefault="00216C8D" w:rsidP="003D450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参考</w:t>
                    </w:r>
                    <w:r w:rsidR="003D4504" w:rsidRPr="00774C5C">
                      <w:rPr>
                        <w:rFonts w:ascii="ＭＳ ゴシック" w:eastAsia="ＭＳ ゴシック" w:hAnsi="ＭＳ ゴシック" w:hint="eastAsia"/>
                        <w:sz w:val="36"/>
                        <w:szCs w:val="36"/>
                      </w:rPr>
                      <w:t>資料</w:t>
                    </w:r>
                  </w:p>
                </w:txbxContent>
              </v:textbox>
              <w10:wrap anchorx="margin"/>
            </v:rect>
          </w:pict>
        </mc:Fallback>
      </mc:AlternateContent>
    </w:r>
  </w:p>
  <w:p w:rsidR="003D4504" w:rsidRDefault="003D4504" w:rsidP="003D4504">
    <w:pPr>
      <w:pStyle w:val="a3"/>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4430395</wp:posOffset>
              </wp:positionH>
              <wp:positionV relativeFrom="paragraph">
                <wp:posOffset>114935</wp:posOffset>
              </wp:positionV>
              <wp:extent cx="1470660" cy="2590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47066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504" w:rsidRDefault="003D4504">
                          <w:r w:rsidRPr="003D4504">
                            <w:rPr>
                              <w:rFonts w:hint="eastAsia"/>
                            </w:rPr>
                            <w:t>（障害福祉課作成）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48.85pt;margin-top:9.05pt;width:115.8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" fillcolor="white [3201]" stroked="f" strokeweight=".5pt">
              <v:textbox>
                <w:txbxContent>
                  <w:p w:rsidR="003D4504" w:rsidRDefault="003D4504">
                    <w:r w:rsidRPr="003D4504">
                      <w:rPr>
                        <w:rFonts w:hint="eastAsia"/>
                      </w:rPr>
                      <w:t>（</w:t>
                    </w:r>
                    <w:r w:rsidRPr="003D4504">
                      <w:rPr>
                        <w:rFonts w:hint="eastAsia"/>
                      </w:rPr>
                      <w:t>障害福祉課作成）</w:t>
                    </w:r>
                  </w:p>
                </w:txbxContent>
              </v:textbox>
            </v:shape>
          </w:pict>
        </mc:Fallback>
      </mc:AlternateContent>
    </w:r>
  </w:p>
  <w:p w:rsidR="003D4504" w:rsidRDefault="003D4504" w:rsidP="003D4504">
    <w:pPr>
      <w:pStyle w:val="a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47C"/>
    <w:multiLevelType w:val="hybridMultilevel"/>
    <w:tmpl w:val="E272D4D6"/>
    <w:lvl w:ilvl="0" w:tplc="1A66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B5741"/>
    <w:multiLevelType w:val="hybridMultilevel"/>
    <w:tmpl w:val="F9FAB744"/>
    <w:lvl w:ilvl="0" w:tplc="B7B04B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6CB1F62"/>
    <w:multiLevelType w:val="hybridMultilevel"/>
    <w:tmpl w:val="EF66C7C6"/>
    <w:lvl w:ilvl="0" w:tplc="3BF46BE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6FA5B77"/>
    <w:multiLevelType w:val="hybridMultilevel"/>
    <w:tmpl w:val="371EEB62"/>
    <w:lvl w:ilvl="0" w:tplc="78DADA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BC683E"/>
    <w:multiLevelType w:val="hybridMultilevel"/>
    <w:tmpl w:val="5C34B8EA"/>
    <w:lvl w:ilvl="0" w:tplc="7450B2E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B0"/>
    <w:rsid w:val="000258B0"/>
    <w:rsid w:val="00216C8D"/>
    <w:rsid w:val="002F732E"/>
    <w:rsid w:val="003D4504"/>
    <w:rsid w:val="00425E8A"/>
    <w:rsid w:val="004270FB"/>
    <w:rsid w:val="004848A2"/>
    <w:rsid w:val="0078525A"/>
    <w:rsid w:val="008079E9"/>
    <w:rsid w:val="00820470"/>
    <w:rsid w:val="00835EEA"/>
    <w:rsid w:val="00B51CCA"/>
    <w:rsid w:val="00B63192"/>
    <w:rsid w:val="00BE3055"/>
    <w:rsid w:val="00D4197E"/>
    <w:rsid w:val="00DD0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47D3C6-4058-47A4-A294-6A112B37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5A"/>
    <w:pPr>
      <w:tabs>
        <w:tab w:val="center" w:pos="4252"/>
        <w:tab w:val="right" w:pos="8504"/>
      </w:tabs>
      <w:snapToGrid w:val="0"/>
    </w:pPr>
  </w:style>
  <w:style w:type="character" w:customStyle="1" w:styleId="a4">
    <w:name w:val="ヘッダー (文字)"/>
    <w:basedOn w:val="a0"/>
    <w:link w:val="a3"/>
    <w:uiPriority w:val="99"/>
    <w:rsid w:val="0078525A"/>
  </w:style>
  <w:style w:type="paragraph" w:styleId="a5">
    <w:name w:val="footer"/>
    <w:basedOn w:val="a"/>
    <w:link w:val="a6"/>
    <w:uiPriority w:val="99"/>
    <w:unhideWhenUsed/>
    <w:rsid w:val="0078525A"/>
    <w:pPr>
      <w:tabs>
        <w:tab w:val="center" w:pos="4252"/>
        <w:tab w:val="right" w:pos="8504"/>
      </w:tabs>
      <w:snapToGrid w:val="0"/>
    </w:pPr>
  </w:style>
  <w:style w:type="character" w:customStyle="1" w:styleId="a6">
    <w:name w:val="フッター (文字)"/>
    <w:basedOn w:val="a0"/>
    <w:link w:val="a5"/>
    <w:uiPriority w:val="99"/>
    <w:rsid w:val="0078525A"/>
  </w:style>
  <w:style w:type="paragraph" w:styleId="a7">
    <w:name w:val="List Paragraph"/>
    <w:basedOn w:val="a"/>
    <w:uiPriority w:val="34"/>
    <w:qFormat/>
    <w:rsid w:val="002F7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2022-07-27T05:20:00Z</dcterms:created>
  <dcterms:modified xsi:type="dcterms:W3CDTF">2022-07-27T06:31:00Z</dcterms:modified>
</cp:coreProperties>
</file>