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68" w:rsidRDefault="00775E68" w:rsidP="00761295">
      <w:pPr>
        <w:widowControl/>
        <w:jc w:val="center"/>
        <w:rPr>
          <w:rFonts w:asciiTheme="majorEastAsia" w:eastAsiaTheme="majorEastAsia" w:hAnsiTheme="majorEastAsia"/>
        </w:rPr>
      </w:pPr>
      <w:r w:rsidRPr="00F83EFB">
        <w:rPr>
          <w:rFonts w:asciiTheme="majorEastAsia" w:eastAsiaTheme="majorEastAsia" w:hAnsiTheme="majorEastAsia" w:hint="eastAsia"/>
        </w:rPr>
        <w:t>＜</w:t>
      </w:r>
      <w:bookmarkStart w:id="0" w:name="_GoBack"/>
      <w:r w:rsidRPr="00F83EFB">
        <w:rPr>
          <w:rFonts w:asciiTheme="majorEastAsia" w:eastAsiaTheme="majorEastAsia" w:hAnsiTheme="majorEastAsia" w:hint="eastAsia"/>
        </w:rPr>
        <w:t>条例・規則照会結果について</w:t>
      </w:r>
      <w:bookmarkEnd w:id="0"/>
      <w:r w:rsidR="0013310D">
        <w:rPr>
          <w:rFonts w:asciiTheme="majorEastAsia" w:eastAsiaTheme="majorEastAsia" w:hAnsiTheme="majorEastAsia" w:hint="eastAsia"/>
        </w:rPr>
        <w:t>（</w:t>
      </w:r>
      <w:r w:rsidR="00A06AFC">
        <w:rPr>
          <w:rFonts w:asciiTheme="majorEastAsia" w:eastAsiaTheme="majorEastAsia" w:hAnsiTheme="majorEastAsia" w:hint="eastAsia"/>
        </w:rPr>
        <w:t>参考資料６</w:t>
      </w:r>
      <w:r w:rsidR="00F91904">
        <w:rPr>
          <w:rFonts w:asciiTheme="majorEastAsia" w:eastAsiaTheme="majorEastAsia" w:hAnsiTheme="majorEastAsia" w:hint="eastAsia"/>
        </w:rPr>
        <w:t xml:space="preserve">　</w:t>
      </w:r>
      <w:r w:rsidR="0013310D">
        <w:rPr>
          <w:rFonts w:asciiTheme="majorEastAsia" w:eastAsiaTheme="majorEastAsia" w:hAnsiTheme="majorEastAsia" w:hint="eastAsia"/>
        </w:rPr>
        <w:t>概要説明）</w:t>
      </w:r>
      <w:r w:rsidRPr="00F83EFB">
        <w:rPr>
          <w:rFonts w:asciiTheme="majorEastAsia" w:eastAsiaTheme="majorEastAsia" w:hAnsiTheme="majorEastAsia" w:hint="eastAsia"/>
        </w:rPr>
        <w:t>＞</w:t>
      </w:r>
    </w:p>
    <w:p w:rsidR="00761295" w:rsidRPr="00F91904" w:rsidRDefault="00761295" w:rsidP="00761295">
      <w:pPr>
        <w:widowControl/>
        <w:jc w:val="center"/>
        <w:rPr>
          <w:rFonts w:asciiTheme="majorEastAsia" w:eastAsiaTheme="majorEastAsia" w:hAnsiTheme="majorEastAsia"/>
        </w:rPr>
      </w:pPr>
    </w:p>
    <w:p w:rsidR="00F83EFB" w:rsidRDefault="00292BB7" w:rsidP="00F83EFB">
      <w:pPr>
        <w:ind w:firstLineChars="100" w:firstLine="229"/>
      </w:pPr>
      <w:r>
        <w:rPr>
          <w:rFonts w:hint="eastAsia"/>
        </w:rPr>
        <w:t>今後の規則改正や運用見直しの参考とするため、令和３年</w:t>
      </w:r>
      <w:r w:rsidRPr="00A3677B">
        <w:rPr>
          <w:rFonts w:asciiTheme="minorEastAsia" w:hAnsiTheme="minorEastAsia" w:hint="eastAsia"/>
        </w:rPr>
        <w:t>12</w:t>
      </w:r>
      <w:r>
        <w:rPr>
          <w:rFonts w:hint="eastAsia"/>
        </w:rPr>
        <w:t>月に、各土木事務所・特定行政庁へ条例・規則照会を行</w:t>
      </w:r>
      <w:r w:rsidR="00F83EFB">
        <w:rPr>
          <w:rFonts w:hint="eastAsia"/>
        </w:rPr>
        <w:t>い、集計結果は、</w:t>
      </w:r>
      <w:r>
        <w:rPr>
          <w:rFonts w:hint="eastAsia"/>
        </w:rPr>
        <w:t>参考</w:t>
      </w:r>
      <w:r w:rsidR="003E62D5">
        <w:rPr>
          <w:rFonts w:hint="eastAsia"/>
        </w:rPr>
        <w:t>資料</w:t>
      </w:r>
      <w:r w:rsidR="00B41969">
        <w:rPr>
          <w:rFonts w:hint="eastAsia"/>
        </w:rPr>
        <w:t>６</w:t>
      </w:r>
      <w:r w:rsidR="00F83EFB">
        <w:rPr>
          <w:rFonts w:hint="eastAsia"/>
        </w:rPr>
        <w:t>のとおりであった。</w:t>
      </w:r>
    </w:p>
    <w:p w:rsidR="00292BB7" w:rsidRDefault="00292BB7" w:rsidP="00F91904"/>
    <w:p w:rsidR="00292BB7" w:rsidRPr="00775E68" w:rsidRDefault="00A367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F91904">
        <w:rPr>
          <w:rFonts w:asciiTheme="majorEastAsia" w:eastAsiaTheme="majorEastAsia" w:hAnsiTheme="majorEastAsia" w:hint="eastAsia"/>
        </w:rPr>
        <w:t>設問１関係（適合率・遵守率の低下の理由等）</w:t>
      </w:r>
    </w:p>
    <w:p w:rsidR="00292BB7" w:rsidRPr="00F91904" w:rsidRDefault="00292BB7" w:rsidP="00F83EFB">
      <w:pPr>
        <w:ind w:leftChars="100" w:left="229"/>
      </w:pPr>
      <w:r>
        <w:rPr>
          <w:rFonts w:hint="eastAsia"/>
        </w:rPr>
        <w:t xml:space="preserve">　</w:t>
      </w:r>
      <w:r w:rsidR="00F91904">
        <w:rPr>
          <w:rFonts w:hint="eastAsia"/>
        </w:rPr>
        <w:t>「１－①適合率・遵守率の低下理由として想定されること」として、</w:t>
      </w:r>
      <w:r w:rsidRPr="00775E68">
        <w:rPr>
          <w:rFonts w:hint="eastAsia"/>
          <w:u w:val="single"/>
        </w:rPr>
        <w:t>既存施設の用途変更での協議が増加傾向にあり、こうした施設では、改修の制限（面積・費用・利用者）等により、全適合とさせることがそもそも難しいという意見が８事務所から出ており、</w:t>
      </w:r>
      <w:r w:rsidR="00F91904" w:rsidRPr="00F91904">
        <w:rPr>
          <w:rFonts w:hint="eastAsia"/>
        </w:rPr>
        <w:t>適合率・</w:t>
      </w:r>
      <w:r w:rsidR="00F83EFB" w:rsidRPr="00F91904">
        <w:rPr>
          <w:rFonts w:hint="eastAsia"/>
        </w:rPr>
        <w:t>遵守率の低下に</w:t>
      </w:r>
      <w:r w:rsidRPr="00F91904">
        <w:rPr>
          <w:rFonts w:hint="eastAsia"/>
        </w:rPr>
        <w:t>影響を及ぼしていると考える。</w:t>
      </w:r>
    </w:p>
    <w:p w:rsidR="00292BB7" w:rsidRDefault="00292BB7" w:rsidP="00292BB7">
      <w:pPr>
        <w:ind w:left="229" w:hangingChars="100" w:hanging="229"/>
      </w:pPr>
      <w:r>
        <w:rPr>
          <w:rFonts w:hint="eastAsia"/>
        </w:rPr>
        <w:t xml:space="preserve">　　この他には、</w:t>
      </w:r>
      <w:r w:rsidR="00F83EFB">
        <w:rPr>
          <w:rFonts w:hint="eastAsia"/>
        </w:rPr>
        <w:t>条例上</w:t>
      </w:r>
      <w:r>
        <w:rPr>
          <w:rFonts w:hint="eastAsia"/>
        </w:rPr>
        <w:t>義務付けがないことや</w:t>
      </w:r>
      <w:r w:rsidR="00F83EFB">
        <w:rPr>
          <w:rFonts w:hint="eastAsia"/>
        </w:rPr>
        <w:t>、</w:t>
      </w:r>
      <w:r>
        <w:rPr>
          <w:rFonts w:hint="eastAsia"/>
        </w:rPr>
        <w:t>業者</w:t>
      </w:r>
      <w:r w:rsidR="00F83EFB">
        <w:rPr>
          <w:rFonts w:hint="eastAsia"/>
        </w:rPr>
        <w:t>費用</w:t>
      </w:r>
      <w:r>
        <w:rPr>
          <w:rFonts w:hint="eastAsia"/>
        </w:rPr>
        <w:t>負担が大きくなるため理解を得られにくいといった意見</w:t>
      </w:r>
      <w:r w:rsidR="00F83EFB">
        <w:rPr>
          <w:rFonts w:hint="eastAsia"/>
        </w:rPr>
        <w:t>や</w:t>
      </w:r>
      <w:r>
        <w:rPr>
          <w:rFonts w:hint="eastAsia"/>
        </w:rPr>
        <w:t>、適合させるメリット等の意見もあった。</w:t>
      </w:r>
    </w:p>
    <w:p w:rsidR="00761295" w:rsidRDefault="00761295" w:rsidP="00292BB7">
      <w:pPr>
        <w:ind w:left="229" w:hangingChars="100" w:hanging="229"/>
      </w:pPr>
      <w:r>
        <w:rPr>
          <w:rFonts w:hint="eastAsia"/>
        </w:rPr>
        <w:t xml:space="preserve">　　</w:t>
      </w:r>
      <w:r w:rsidR="00F91904">
        <w:rPr>
          <w:rFonts w:hint="eastAsia"/>
        </w:rPr>
        <w:t>「</w:t>
      </w:r>
      <w:r>
        <w:rPr>
          <w:rFonts w:hint="eastAsia"/>
        </w:rPr>
        <w:t>１－②</w:t>
      </w:r>
      <w:r w:rsidR="00F91904">
        <w:rPr>
          <w:rFonts w:hint="eastAsia"/>
        </w:rPr>
        <w:t>改善のために</w:t>
      </w:r>
      <w:r>
        <w:rPr>
          <w:rFonts w:hint="eastAsia"/>
        </w:rPr>
        <w:t>実施していることや有効</w:t>
      </w:r>
      <w:r w:rsidR="00A81C32">
        <w:rPr>
          <w:rFonts w:hint="eastAsia"/>
        </w:rPr>
        <w:t>と考えられる取組等」については参考資料７</w:t>
      </w:r>
      <w:r w:rsidR="00F91904">
        <w:rPr>
          <w:rFonts w:hint="eastAsia"/>
        </w:rPr>
        <w:t>のとおりである。</w:t>
      </w:r>
    </w:p>
    <w:p w:rsidR="00292BB7" w:rsidRPr="00F91904" w:rsidRDefault="00292BB7" w:rsidP="00292BB7">
      <w:pPr>
        <w:ind w:left="229" w:hangingChars="100" w:hanging="229"/>
      </w:pPr>
    </w:p>
    <w:p w:rsidR="00292BB7" w:rsidRPr="00775E68" w:rsidRDefault="00292BB7" w:rsidP="00F91904">
      <w:pPr>
        <w:ind w:left="229" w:hangingChars="100" w:hanging="229"/>
        <w:rPr>
          <w:rFonts w:asciiTheme="majorEastAsia" w:eastAsiaTheme="majorEastAsia" w:hAnsiTheme="majorEastAsia"/>
        </w:rPr>
      </w:pPr>
      <w:r w:rsidRPr="00775E68">
        <w:rPr>
          <w:rFonts w:asciiTheme="majorEastAsia" w:eastAsiaTheme="majorEastAsia" w:hAnsiTheme="majorEastAsia" w:hint="eastAsia"/>
        </w:rPr>
        <w:t xml:space="preserve">２　</w:t>
      </w:r>
      <w:r w:rsidR="00F91904">
        <w:rPr>
          <w:rFonts w:asciiTheme="majorEastAsia" w:eastAsiaTheme="majorEastAsia" w:hAnsiTheme="majorEastAsia" w:hint="eastAsia"/>
        </w:rPr>
        <w:t>設問２関係（未整備割合が高い整備項目の要因等）</w:t>
      </w:r>
    </w:p>
    <w:p w:rsidR="00292BB7" w:rsidRDefault="00F91904" w:rsidP="00292B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誘導用</w:t>
      </w:r>
      <w:r w:rsidR="00292BB7">
        <w:rPr>
          <w:rFonts w:hint="eastAsia"/>
        </w:rPr>
        <w:t>ブロック</w:t>
      </w:r>
    </w:p>
    <w:p w:rsidR="00292BB7" w:rsidRDefault="00292BB7" w:rsidP="00775E68">
      <w:pPr>
        <w:ind w:left="688" w:hangingChars="300" w:hanging="688"/>
      </w:pPr>
      <w:r>
        <w:rPr>
          <w:rFonts w:hint="eastAsia"/>
        </w:rPr>
        <w:t xml:space="preserve">　　→　</w:t>
      </w:r>
      <w:r w:rsidR="00A3677B">
        <w:rPr>
          <w:rFonts w:hint="eastAsia"/>
        </w:rPr>
        <w:t>「</w:t>
      </w:r>
      <w:r w:rsidR="00775E68" w:rsidRPr="00775E68">
        <w:rPr>
          <w:rFonts w:hint="eastAsia"/>
          <w:u w:val="single"/>
        </w:rPr>
        <w:t>高齢者や乳幼児</w:t>
      </w:r>
      <w:r w:rsidR="00A3677B">
        <w:rPr>
          <w:rFonts w:hint="eastAsia"/>
          <w:u w:val="single"/>
        </w:rPr>
        <w:t>等</w:t>
      </w:r>
      <w:r w:rsidR="00775E68" w:rsidRPr="00775E68">
        <w:rPr>
          <w:rFonts w:hint="eastAsia"/>
          <w:u w:val="single"/>
        </w:rPr>
        <w:t>の</w:t>
      </w:r>
      <w:r w:rsidR="00A3677B">
        <w:rPr>
          <w:rFonts w:hint="eastAsia"/>
          <w:u w:val="single"/>
        </w:rPr>
        <w:t>躓きの原因となる」という理由で整備しない事業者</w:t>
      </w:r>
      <w:r w:rsidRPr="00775E68">
        <w:rPr>
          <w:rFonts w:hint="eastAsia"/>
          <w:u w:val="single"/>
        </w:rPr>
        <w:t>が多いという意見が７事務所から</w:t>
      </w:r>
      <w:r w:rsidR="00A3677B">
        <w:rPr>
          <w:rFonts w:hint="eastAsia"/>
        </w:rPr>
        <w:t>上がっており、事業者において、施設等の主な利用者想定</w:t>
      </w:r>
      <w:r w:rsidR="00F91904">
        <w:rPr>
          <w:rFonts w:hint="eastAsia"/>
        </w:rPr>
        <w:t>を</w:t>
      </w:r>
      <w:r w:rsidR="00A3677B">
        <w:rPr>
          <w:rFonts w:hint="eastAsia"/>
        </w:rPr>
        <w:t>踏まえて不適合となっていることが窺える。</w:t>
      </w:r>
      <w:r>
        <w:rPr>
          <w:rFonts w:hint="eastAsia"/>
        </w:rPr>
        <w:t>この他、デザイン面から黄色</w:t>
      </w:r>
      <w:r w:rsidR="00F83EFB">
        <w:rPr>
          <w:rFonts w:hint="eastAsia"/>
        </w:rPr>
        <w:t>だけというのは</w:t>
      </w:r>
      <w:r>
        <w:rPr>
          <w:rFonts w:hint="eastAsia"/>
        </w:rPr>
        <w:t>どうか、また手すりへの点字が不適合が多い等の意見もあった。</w:t>
      </w:r>
    </w:p>
    <w:p w:rsidR="00292BB7" w:rsidRPr="00F83EFB" w:rsidRDefault="00292BB7" w:rsidP="00292BB7"/>
    <w:p w:rsidR="00292BB7" w:rsidRPr="00292BB7" w:rsidRDefault="00292BB7" w:rsidP="00292BB7">
      <w:r>
        <w:rPr>
          <w:rFonts w:hint="eastAsia"/>
        </w:rPr>
        <w:t>（２）トイレ</w:t>
      </w:r>
    </w:p>
    <w:p w:rsidR="00292BB7" w:rsidRDefault="00292BB7" w:rsidP="00775E68">
      <w:pPr>
        <w:ind w:left="688" w:hangingChars="300" w:hanging="688"/>
      </w:pPr>
      <w:r>
        <w:rPr>
          <w:rFonts w:hint="eastAsia"/>
        </w:rPr>
        <w:t xml:space="preserve">　　→　</w:t>
      </w:r>
      <w:r w:rsidRPr="00775E68">
        <w:rPr>
          <w:rFonts w:hint="eastAsia"/>
          <w:u w:val="single"/>
        </w:rPr>
        <w:t>みんなのトイレと、それ以外のトイレ、両方を整備することのハードルが高く、整備ができないという意見が４つ</w:t>
      </w:r>
      <w:r>
        <w:rPr>
          <w:rFonts w:hint="eastAsia"/>
        </w:rPr>
        <w:t>上がっている。</w:t>
      </w:r>
    </w:p>
    <w:p w:rsidR="00292BB7" w:rsidRPr="00775E68" w:rsidRDefault="00292BB7" w:rsidP="00292BB7"/>
    <w:p w:rsidR="00292BB7" w:rsidRPr="00292BB7" w:rsidRDefault="00292BB7">
      <w:r>
        <w:rPr>
          <w:rFonts w:hint="eastAsia"/>
        </w:rPr>
        <w:t>（３）その他</w:t>
      </w:r>
    </w:p>
    <w:p w:rsidR="00292BB7" w:rsidRDefault="00292BB7" w:rsidP="00292BB7">
      <w:pPr>
        <w:ind w:left="688" w:hangingChars="300" w:hanging="688"/>
      </w:pPr>
      <w:r>
        <w:rPr>
          <w:rFonts w:hint="eastAsia"/>
        </w:rPr>
        <w:t xml:space="preserve">　　→　</w:t>
      </w:r>
      <w:r w:rsidRPr="00775E68">
        <w:rPr>
          <w:rFonts w:hint="eastAsia"/>
          <w:u w:val="single"/>
        </w:rPr>
        <w:t>小</w:t>
      </w:r>
      <w:r w:rsidR="00A3677B">
        <w:rPr>
          <w:rFonts w:hint="eastAsia"/>
          <w:u w:val="single"/>
        </w:rPr>
        <w:t>規模施設、利用者が限られている施設、用途変更による施設等は、</w:t>
      </w:r>
      <w:r w:rsidRPr="00775E68">
        <w:rPr>
          <w:rFonts w:hint="eastAsia"/>
          <w:u w:val="single"/>
        </w:rPr>
        <w:t>問</w:t>
      </w:r>
      <w:r w:rsidR="00A3677B">
        <w:rPr>
          <w:rFonts w:hint="eastAsia"/>
          <w:u w:val="single"/>
        </w:rPr>
        <w:t>１</w:t>
      </w:r>
      <w:r w:rsidRPr="00775E68">
        <w:rPr>
          <w:rFonts w:hint="eastAsia"/>
          <w:u w:val="single"/>
        </w:rPr>
        <w:t>同様、整備が難しいという意見が５つ</w:t>
      </w:r>
      <w:r>
        <w:rPr>
          <w:rFonts w:hint="eastAsia"/>
        </w:rPr>
        <w:t>ほど上がっている。</w:t>
      </w:r>
    </w:p>
    <w:p w:rsidR="00292BB7" w:rsidRPr="00A3677B" w:rsidRDefault="00292BB7"/>
    <w:p w:rsidR="0013310D" w:rsidRDefault="003E62D5" w:rsidP="00F91904">
      <w:pPr>
        <w:ind w:left="229" w:hangingChars="100" w:hanging="229"/>
      </w:pPr>
      <w:r>
        <w:rPr>
          <w:rFonts w:hint="eastAsia"/>
        </w:rPr>
        <w:t xml:space="preserve">　※設問１、２の詳細及び設問３については参考資料７</w:t>
      </w:r>
      <w:r w:rsidR="00F91904">
        <w:rPr>
          <w:rFonts w:hint="eastAsia"/>
        </w:rPr>
        <w:t>のとおり</w:t>
      </w:r>
    </w:p>
    <w:p w:rsidR="00F91904" w:rsidRDefault="00F91904" w:rsidP="00F91904"/>
    <w:p w:rsidR="00775E68" w:rsidRDefault="00775E68" w:rsidP="00775E68">
      <w:pPr>
        <w:ind w:left="229" w:hangingChars="100" w:hanging="229"/>
      </w:pPr>
      <w:r>
        <w:rPr>
          <w:rFonts w:hint="eastAsia"/>
        </w:rPr>
        <w:t>〇　整備</w:t>
      </w:r>
      <w:r w:rsidR="00A3677B">
        <w:rPr>
          <w:rFonts w:hint="eastAsia"/>
        </w:rPr>
        <w:t>基準では、「不特定多数の者が利用する施設」を</w:t>
      </w:r>
      <w:r w:rsidR="00FB7562">
        <w:rPr>
          <w:rFonts w:hint="eastAsia"/>
        </w:rPr>
        <w:t>その</w:t>
      </w:r>
      <w:r w:rsidR="00A3677B">
        <w:rPr>
          <w:rFonts w:hint="eastAsia"/>
        </w:rPr>
        <w:t>対象と位置付けている</w:t>
      </w:r>
      <w:r>
        <w:rPr>
          <w:rFonts w:hint="eastAsia"/>
        </w:rPr>
        <w:t>が、</w:t>
      </w:r>
    </w:p>
    <w:p w:rsidR="00775E68" w:rsidRDefault="00FB7562" w:rsidP="00775E6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小規模福祉</w:t>
      </w:r>
      <w:r w:rsidR="00775E68">
        <w:rPr>
          <w:rFonts w:hint="eastAsia"/>
        </w:rPr>
        <w:t>施設</w:t>
      </w:r>
      <w:r w:rsidR="00A3677B">
        <w:rPr>
          <w:rFonts w:hint="eastAsia"/>
        </w:rPr>
        <w:t>等</w:t>
      </w:r>
      <w:r w:rsidR="00775E68">
        <w:rPr>
          <w:rFonts w:hint="eastAsia"/>
        </w:rPr>
        <w:t>（</w:t>
      </w:r>
      <w:r w:rsidR="00A3677B">
        <w:rPr>
          <w:rFonts w:hint="eastAsia"/>
        </w:rPr>
        <w:t>例：障害者等の共同生活介護）では、利用者の想定が、相当程度、「特定」「少数」であることや、</w:t>
      </w:r>
    </w:p>
    <w:p w:rsidR="00775E68" w:rsidRDefault="00775E68" w:rsidP="00775E6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13310D">
        <w:rPr>
          <w:rFonts w:hint="eastAsia"/>
        </w:rPr>
        <w:t>こうした、</w:t>
      </w:r>
      <w:r w:rsidR="00A3677B">
        <w:rPr>
          <w:rFonts w:hint="eastAsia"/>
        </w:rPr>
        <w:t>近年増加の共同生活介護等では、既存住宅の改修などにより実施している例が</w:t>
      </w:r>
      <w:r w:rsidR="0013310D">
        <w:rPr>
          <w:rFonts w:hint="eastAsia"/>
        </w:rPr>
        <w:t>多く、構造や面積上の制限があり、事業者側としても</w:t>
      </w:r>
      <w:r w:rsidR="00A3677B">
        <w:rPr>
          <w:rFonts w:hint="eastAsia"/>
        </w:rPr>
        <w:t>適合まで</w:t>
      </w:r>
      <w:r>
        <w:rPr>
          <w:rFonts w:hint="eastAsia"/>
        </w:rPr>
        <w:t>整備</w:t>
      </w:r>
      <w:r w:rsidR="00A3677B">
        <w:rPr>
          <w:rFonts w:hint="eastAsia"/>
        </w:rPr>
        <w:t>すること</w:t>
      </w:r>
      <w:r w:rsidR="0013310D">
        <w:rPr>
          <w:rFonts w:hint="eastAsia"/>
        </w:rPr>
        <w:t>が難しい</w:t>
      </w:r>
    </w:p>
    <w:p w:rsidR="0013310D" w:rsidRDefault="00A3677B" w:rsidP="0013310D">
      <w:pPr>
        <w:ind w:leftChars="100" w:left="229"/>
      </w:pPr>
      <w:r>
        <w:rPr>
          <w:rFonts w:hint="eastAsia"/>
        </w:rPr>
        <w:t xml:space="preserve">　等の状況があることが</w:t>
      </w:r>
      <w:r w:rsidR="0013310D">
        <w:rPr>
          <w:rFonts w:hint="eastAsia"/>
        </w:rPr>
        <w:t>、</w:t>
      </w:r>
      <w:r>
        <w:rPr>
          <w:rFonts w:hint="eastAsia"/>
        </w:rPr>
        <w:t>改めて確認</w:t>
      </w:r>
      <w:r w:rsidR="0013310D">
        <w:rPr>
          <w:rFonts w:hint="eastAsia"/>
        </w:rPr>
        <w:t>され、こうした事柄も、適合率・遵守率低下の原因の</w:t>
      </w:r>
    </w:p>
    <w:p w:rsidR="0013310D" w:rsidRDefault="0013310D" w:rsidP="0013310D">
      <w:pPr>
        <w:ind w:leftChars="100" w:left="229" w:firstLineChars="100" w:firstLine="229"/>
      </w:pPr>
      <w:r>
        <w:rPr>
          <w:rFonts w:hint="eastAsia"/>
        </w:rPr>
        <w:t>一つと考えられる。</w:t>
      </w:r>
    </w:p>
    <w:p w:rsidR="0013310D" w:rsidRPr="0013310D" w:rsidRDefault="0013310D" w:rsidP="0013310D"/>
    <w:p w:rsidR="00775E68" w:rsidRDefault="00775E68" w:rsidP="00A3677B">
      <w:pPr>
        <w:ind w:left="229" w:hangingChars="100" w:hanging="229"/>
      </w:pPr>
      <w:r>
        <w:rPr>
          <w:rFonts w:hint="eastAsia"/>
        </w:rPr>
        <w:t xml:space="preserve">〇　</w:t>
      </w:r>
      <w:r w:rsidR="00FB7562">
        <w:rPr>
          <w:rFonts w:hint="eastAsia"/>
        </w:rPr>
        <w:t>また、</w:t>
      </w:r>
      <w:r w:rsidR="00A3677B">
        <w:rPr>
          <w:rFonts w:hint="eastAsia"/>
        </w:rPr>
        <w:t>今後、規則に基づく</w:t>
      </w:r>
      <w:r w:rsidR="00F83EFB">
        <w:rPr>
          <w:rFonts w:hint="eastAsia"/>
        </w:rPr>
        <w:t>整備基準の見直しに当たって</w:t>
      </w:r>
      <w:r w:rsidR="00A3677B">
        <w:rPr>
          <w:rFonts w:hint="eastAsia"/>
        </w:rPr>
        <w:t>は、</w:t>
      </w:r>
      <w:r w:rsidR="00FB7562">
        <w:rPr>
          <w:rFonts w:hint="eastAsia"/>
        </w:rPr>
        <w:t>有識者や事業者団体、当事者</w:t>
      </w:r>
      <w:r w:rsidR="00FB7562">
        <w:rPr>
          <w:rFonts w:hint="eastAsia"/>
        </w:rPr>
        <w:lastRenderedPageBreak/>
        <w:t>団体等による</w:t>
      </w:r>
      <w:r w:rsidR="00A3677B">
        <w:rPr>
          <w:rFonts w:hint="eastAsia"/>
        </w:rPr>
        <w:t>条例見直し検討会議での議論</w:t>
      </w:r>
      <w:r w:rsidR="0013310D">
        <w:rPr>
          <w:rFonts w:hint="eastAsia"/>
        </w:rPr>
        <w:t>や、各関係機関への意見照会等による</w:t>
      </w:r>
      <w:r w:rsidR="00A3677B">
        <w:rPr>
          <w:rFonts w:hint="eastAsia"/>
        </w:rPr>
        <w:t>実際の運用状況</w:t>
      </w:r>
      <w:r w:rsidR="0013310D">
        <w:rPr>
          <w:rFonts w:hint="eastAsia"/>
        </w:rPr>
        <w:t>や課題、</w:t>
      </w:r>
      <w:r w:rsidR="00FB7562">
        <w:rPr>
          <w:rFonts w:hint="eastAsia"/>
        </w:rPr>
        <w:t>さらに</w:t>
      </w:r>
      <w:r w:rsidR="00F83EFB">
        <w:rPr>
          <w:rFonts w:hint="eastAsia"/>
        </w:rPr>
        <w:t>バリアフリー法や建築基準法など関連法の扱いやその改正も踏まえつつ、より条</w:t>
      </w:r>
      <w:r w:rsidR="0013310D">
        <w:rPr>
          <w:rFonts w:hint="eastAsia"/>
        </w:rPr>
        <w:t>例目的に沿ってバリアフリー整備が進むよう、検討していく必要がある。</w:t>
      </w:r>
    </w:p>
    <w:p w:rsidR="00F83EFB" w:rsidRDefault="00F83EFB" w:rsidP="00F83EFB">
      <w:pPr>
        <w:ind w:left="229" w:hangingChars="100" w:hanging="229"/>
      </w:pPr>
      <w:r>
        <w:rPr>
          <w:rFonts w:hint="eastAsia"/>
        </w:rPr>
        <w:t xml:space="preserve">　　</w:t>
      </w:r>
    </w:p>
    <w:p w:rsidR="00F83EFB" w:rsidRDefault="00F83EFB" w:rsidP="00F83EFB">
      <w:pPr>
        <w:ind w:left="229" w:hangingChars="100" w:hanging="229"/>
      </w:pPr>
      <w:r>
        <w:rPr>
          <w:rFonts w:hint="eastAsia"/>
        </w:rPr>
        <w:t xml:space="preserve">〇　</w:t>
      </w:r>
      <w:r w:rsidR="00FB7562">
        <w:rPr>
          <w:rFonts w:hint="eastAsia"/>
        </w:rPr>
        <w:t>その際、</w:t>
      </w:r>
      <w:r w:rsidR="0013310D">
        <w:rPr>
          <w:rFonts w:hint="eastAsia"/>
        </w:rPr>
        <w:t>実質的なバリアフリー整備を進めるための工夫として、</w:t>
      </w:r>
      <w:r>
        <w:rPr>
          <w:rFonts w:hint="eastAsia"/>
        </w:rPr>
        <w:t>平</w:t>
      </w:r>
      <w:r w:rsidRPr="00FB7562">
        <w:rPr>
          <w:rFonts w:asciiTheme="minorEastAsia" w:hAnsiTheme="minorEastAsia" w:hint="eastAsia"/>
        </w:rPr>
        <w:t>成28</w:t>
      </w:r>
      <w:r w:rsidR="0013310D" w:rsidRPr="00FB7562">
        <w:rPr>
          <w:rFonts w:asciiTheme="minorEastAsia" w:hAnsiTheme="minorEastAsia" w:hint="eastAsia"/>
        </w:rPr>
        <w:t>年</w:t>
      </w:r>
      <w:r w:rsidR="0013310D">
        <w:rPr>
          <w:rFonts w:hint="eastAsia"/>
        </w:rPr>
        <w:t>度規則改正のように、</w:t>
      </w:r>
      <w:r w:rsidR="00FB7562">
        <w:rPr>
          <w:rFonts w:hint="eastAsia"/>
        </w:rPr>
        <w:t>一定の条件</w:t>
      </w:r>
      <w:r w:rsidR="0013310D">
        <w:rPr>
          <w:rFonts w:hint="eastAsia"/>
        </w:rPr>
        <w:t>の場合に</w:t>
      </w:r>
      <w:r w:rsidR="00FB7562">
        <w:rPr>
          <w:rFonts w:hint="eastAsia"/>
        </w:rPr>
        <w:t>整備と</w:t>
      </w:r>
      <w:r w:rsidR="0013310D">
        <w:rPr>
          <w:rFonts w:hint="eastAsia"/>
        </w:rPr>
        <w:t>人的対応</w:t>
      </w:r>
      <w:r w:rsidR="00FB7562">
        <w:rPr>
          <w:rFonts w:hint="eastAsia"/>
        </w:rPr>
        <w:t>を組み合わせた対応で</w:t>
      </w:r>
      <w:r w:rsidR="0013310D">
        <w:rPr>
          <w:rFonts w:hint="eastAsia"/>
        </w:rPr>
        <w:t>も可とする</w:t>
      </w:r>
      <w:r>
        <w:rPr>
          <w:rFonts w:hint="eastAsia"/>
        </w:rPr>
        <w:t>考え方</w:t>
      </w:r>
      <w:r w:rsidR="0013310D">
        <w:rPr>
          <w:rFonts w:hint="eastAsia"/>
        </w:rPr>
        <w:t>や、その一方、国のソフト基準のように、バリアフリー整備を前提とした上で、整備を活かすためにソフト的な運用（事業者による利用の支援）を位置付ける必要がある、という考え方</w:t>
      </w:r>
      <w:r>
        <w:rPr>
          <w:rFonts w:hint="eastAsia"/>
        </w:rPr>
        <w:t>もあることに留意しながら検討することとしたい。</w:t>
      </w:r>
    </w:p>
    <w:p w:rsidR="00F83EFB" w:rsidRPr="0013310D" w:rsidRDefault="00F83EFB" w:rsidP="00F83EFB">
      <w:pPr>
        <w:ind w:left="229" w:hangingChars="100" w:hanging="229"/>
      </w:pPr>
    </w:p>
    <w:p w:rsidR="00F83EFB" w:rsidRDefault="009B0029" w:rsidP="009B0029">
      <w:pPr>
        <w:ind w:left="229" w:hangingChars="100" w:hanging="229"/>
        <w:jc w:val="right"/>
      </w:pPr>
      <w:r>
        <w:rPr>
          <w:rFonts w:hint="eastAsia"/>
        </w:rPr>
        <w:t>以上</w:t>
      </w:r>
    </w:p>
    <w:p w:rsidR="0013310D" w:rsidRDefault="0013310D" w:rsidP="00F83EFB">
      <w:pPr>
        <w:ind w:left="229" w:hangingChars="100" w:hanging="229"/>
      </w:pPr>
    </w:p>
    <w:p w:rsidR="00FB7562" w:rsidRDefault="00FB7562" w:rsidP="00F83EFB">
      <w:pPr>
        <w:ind w:left="229" w:hangingChars="100" w:hanging="229"/>
      </w:pPr>
    </w:p>
    <w:sectPr w:rsidR="00FB7562" w:rsidSect="00292BB7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F7" w:rsidRDefault="002108F7"/>
  </w:endnote>
  <w:endnote w:type="continuationSeparator" w:id="0">
    <w:p w:rsidR="002108F7" w:rsidRDefault="0021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252067"/>
      <w:docPartObj>
        <w:docPartGallery w:val="Page Numbers (Bottom of Page)"/>
        <w:docPartUnique/>
      </w:docPartObj>
    </w:sdtPr>
    <w:sdtEndPr/>
    <w:sdtContent>
      <w:p w:rsidR="00DF3DA8" w:rsidRDefault="00DF3D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AFC" w:rsidRPr="00A06AFC">
          <w:rPr>
            <w:noProof/>
            <w:lang w:val="ja-JP"/>
          </w:rPr>
          <w:t>2</w:t>
        </w:r>
        <w:r>
          <w:fldChar w:fldCharType="end"/>
        </w:r>
      </w:p>
    </w:sdtContent>
  </w:sdt>
  <w:p w:rsidR="00DF3DA8" w:rsidRDefault="00DF3D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F7" w:rsidRDefault="002108F7"/>
  </w:footnote>
  <w:footnote w:type="continuationSeparator" w:id="0">
    <w:p w:rsidR="002108F7" w:rsidRDefault="002108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A8" w:rsidRDefault="00DF3DA8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4883785</wp:posOffset>
              </wp:positionH>
              <wp:positionV relativeFrom="paragraph">
                <wp:posOffset>-270510</wp:posOffset>
              </wp:positionV>
              <wp:extent cx="1206500" cy="1404620"/>
              <wp:effectExtent l="0" t="0" r="12700" b="2095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3DA8" w:rsidRPr="00DF3DA8" w:rsidRDefault="00DF3DA8" w:rsidP="00DF3DA8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DF3DA8">
                            <w:rPr>
                              <w:rFonts w:asciiTheme="majorEastAsia" w:eastAsiaTheme="majorEastAsia" w:hAnsiTheme="majorEastAsia" w:hint="eastAsia"/>
                            </w:rPr>
                            <w:t>参考資料</w:t>
                          </w:r>
                          <w:r w:rsidR="00B41969">
                            <w:rPr>
                              <w:rFonts w:asciiTheme="majorEastAsia" w:eastAsiaTheme="majorEastAsia" w:hAnsiTheme="majorEastAsia" w:hint="eastAsia"/>
                            </w:rPr>
                            <w:t>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4.55pt;margin-top:-21.3pt;width: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">
              <v:textbox style="mso-fit-shape-to-text:t">
                <w:txbxContent>
                  <w:p w:rsidR="00DF3DA8" w:rsidRPr="00DF3DA8" w:rsidRDefault="00DF3DA8" w:rsidP="00DF3DA8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DF3DA8">
                      <w:rPr>
                        <w:rFonts w:asciiTheme="majorEastAsia" w:eastAsiaTheme="majorEastAsia" w:hAnsiTheme="majorEastAsia" w:hint="eastAsia"/>
                      </w:rPr>
                      <w:t>参考資料</w:t>
                    </w:r>
                    <w:r w:rsidR="00B41969">
                      <w:rPr>
                        <w:rFonts w:asciiTheme="majorEastAsia" w:eastAsiaTheme="majorEastAsia" w:hAnsiTheme="majorEastAsia" w:hint="eastAsia"/>
                      </w:rPr>
                      <w:t>５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F3DA8" w:rsidRDefault="00DF3D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0C5"/>
    <w:multiLevelType w:val="hybridMultilevel"/>
    <w:tmpl w:val="025283CE"/>
    <w:lvl w:ilvl="0" w:tplc="D66A1AEE">
      <w:start w:val="3"/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1" w15:restartNumberingAfterBreak="0">
    <w:nsid w:val="439740B5"/>
    <w:multiLevelType w:val="hybridMultilevel"/>
    <w:tmpl w:val="15887950"/>
    <w:lvl w:ilvl="0" w:tplc="0450B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69"/>
    <w:rsid w:val="0013310D"/>
    <w:rsid w:val="002108F7"/>
    <w:rsid w:val="00272869"/>
    <w:rsid w:val="00292BB7"/>
    <w:rsid w:val="003E62D5"/>
    <w:rsid w:val="00761295"/>
    <w:rsid w:val="00775E68"/>
    <w:rsid w:val="009A45D3"/>
    <w:rsid w:val="009B0029"/>
    <w:rsid w:val="00A06AFC"/>
    <w:rsid w:val="00A3677B"/>
    <w:rsid w:val="00A81C32"/>
    <w:rsid w:val="00B41969"/>
    <w:rsid w:val="00DF3DA8"/>
    <w:rsid w:val="00ED5466"/>
    <w:rsid w:val="00F83EFB"/>
    <w:rsid w:val="00F91904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3E041-3AEF-445A-BB6B-C45527D3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B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3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A8"/>
    <w:rPr>
      <w:sz w:val="24"/>
    </w:rPr>
  </w:style>
  <w:style w:type="paragraph" w:styleId="a6">
    <w:name w:val="footer"/>
    <w:basedOn w:val="a"/>
    <w:link w:val="a7"/>
    <w:uiPriority w:val="99"/>
    <w:unhideWhenUsed/>
    <w:rsid w:val="00DF3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井出実里</cp:lastModifiedBy>
  <cp:revision>7</cp:revision>
  <dcterms:created xsi:type="dcterms:W3CDTF">2022-03-03T04:01:00Z</dcterms:created>
  <dcterms:modified xsi:type="dcterms:W3CDTF">2022-07-27T01:01:00Z</dcterms:modified>
</cp:coreProperties>
</file>